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39" w:rsidRPr="0087384B" w:rsidRDefault="00AE0E39" w:rsidP="005B5C3E">
      <w:pPr>
        <w:rPr>
          <w:u w:val="single"/>
        </w:rPr>
      </w:pPr>
    </w:p>
    <w:p w:rsidR="00B243F3" w:rsidRDefault="005B5C3E" w:rsidP="005B5C3E">
      <w:r w:rsidRPr="005B5C3E">
        <w:t xml:space="preserve">Democrats </w:t>
      </w:r>
      <w:r w:rsidR="005A5775">
        <w:t xml:space="preserve">say </w:t>
      </w:r>
      <w:r w:rsidRPr="005B5C3E">
        <w:t xml:space="preserve">they represent values of the working class and “underclass.” Republicans suggest that they safeguard “American values.”  </w:t>
      </w:r>
      <w:r w:rsidR="00600C0E">
        <w:t>I</w:t>
      </w:r>
      <w:r w:rsidRPr="005B5C3E">
        <w:t>n both cases</w:t>
      </w:r>
      <w:r w:rsidR="00600C0E">
        <w:t xml:space="preserve"> we ask, “W</w:t>
      </w:r>
      <w:r w:rsidRPr="005B5C3E">
        <w:t>hat are those values?</w:t>
      </w:r>
      <w:r w:rsidR="00600C0E">
        <w:t>”</w:t>
      </w:r>
      <w:r w:rsidRPr="005B5C3E">
        <w:t xml:space="preserve"> What values do we as Democrats or Republicans believe our respective parties ought to portray as their own?  What values ought to inspire the </w:t>
      </w:r>
      <w:r w:rsidR="00EE707D">
        <w:t xml:space="preserve">rhetoric, </w:t>
      </w:r>
      <w:r w:rsidRPr="005B5C3E">
        <w:t xml:space="preserve">policy proposals and </w:t>
      </w:r>
      <w:r w:rsidR="005A5775">
        <w:t xml:space="preserve">platforms of the </w:t>
      </w:r>
      <w:r w:rsidRPr="005B5C3E">
        <w:t>parties?</w:t>
      </w:r>
    </w:p>
    <w:p w:rsidR="00B243F3" w:rsidRDefault="00B243F3" w:rsidP="005B5C3E"/>
    <w:p w:rsidR="005B5C3E" w:rsidRPr="005B5C3E" w:rsidRDefault="00EE707D" w:rsidP="005B5C3E">
      <w:r>
        <w:t>Our</w:t>
      </w:r>
      <w:r w:rsidR="005B5C3E" w:rsidRPr="005B5C3E">
        <w:t xml:space="preserve"> </w:t>
      </w:r>
      <w:r w:rsidR="00877CF1" w:rsidRPr="00877CF1">
        <w:rPr>
          <w:i/>
        </w:rPr>
        <w:t>Discourse</w:t>
      </w:r>
      <w:r w:rsidR="005B5C3E" w:rsidRPr="005B5C3E">
        <w:t xml:space="preserve"> allows us opportunity to put our heads together to </w:t>
      </w:r>
      <w:r w:rsidR="00600C0E" w:rsidRPr="000F0557">
        <w:rPr>
          <w:i/>
        </w:rPr>
        <w:t xml:space="preserve">begin to </w:t>
      </w:r>
      <w:r w:rsidR="005B5C3E" w:rsidRPr="000F0557">
        <w:rPr>
          <w:i/>
        </w:rPr>
        <w:t>determine</w:t>
      </w:r>
      <w:r w:rsidR="005B5C3E" w:rsidRPr="005B5C3E">
        <w:t xml:space="preserve"> two sets of values we conclude represent the ideals of the </w:t>
      </w:r>
      <w:r w:rsidR="00B243F3">
        <w:t xml:space="preserve">two </w:t>
      </w:r>
      <w:r w:rsidR="005B5C3E" w:rsidRPr="005B5C3E">
        <w:t xml:space="preserve">major parties </w:t>
      </w:r>
      <w:r w:rsidR="00B243F3">
        <w:t xml:space="preserve">in American politics </w:t>
      </w:r>
      <w:r w:rsidR="005B5C3E" w:rsidRPr="005B5C3E">
        <w:t xml:space="preserve">whose rhetoric, policy orientations and political philosophies dominate the American political sphere. </w:t>
      </w:r>
    </w:p>
    <w:p w:rsidR="00EE707D" w:rsidRDefault="00EE707D" w:rsidP="00E03367">
      <w:pPr>
        <w:rPr>
          <w:w w:val="115"/>
        </w:rPr>
      </w:pPr>
    </w:p>
    <w:p w:rsidR="00B243F3" w:rsidRDefault="00B243F3" w:rsidP="00B243F3">
      <w:pPr>
        <w:widowControl/>
        <w:spacing w:after="200" w:line="276" w:lineRule="auto"/>
        <w:contextualSpacing/>
      </w:pPr>
      <w:r>
        <w:t>The logic underscoring our focus on values is based upon t</w:t>
      </w:r>
      <w:r w:rsidR="00566EEB">
        <w:t>wo</w:t>
      </w:r>
      <w:r>
        <w:t xml:space="preserve"> ideas.</w:t>
      </w:r>
    </w:p>
    <w:p w:rsidR="00B243F3" w:rsidRDefault="00B243F3" w:rsidP="00B20B9C">
      <w:pPr>
        <w:widowControl/>
        <w:spacing w:after="200" w:line="276" w:lineRule="auto"/>
        <w:contextualSpacing/>
        <w:rPr>
          <w:b/>
          <w:w w:val="115"/>
        </w:rPr>
      </w:pPr>
    </w:p>
    <w:p w:rsidR="00B243F3" w:rsidRPr="00671411" w:rsidRDefault="00B20B9C" w:rsidP="005A2209">
      <w:pPr>
        <w:widowControl/>
        <w:spacing w:after="200" w:line="276" w:lineRule="auto"/>
        <w:ind w:left="360" w:hanging="360"/>
        <w:contextualSpacing/>
        <w:rPr>
          <w:b/>
          <w:w w:val="115"/>
        </w:rPr>
      </w:pPr>
      <w:r w:rsidRPr="00671411">
        <w:rPr>
          <w:b/>
          <w:w w:val="115"/>
        </w:rPr>
        <w:t xml:space="preserve">1.  </w:t>
      </w:r>
      <w:r w:rsidR="005A2209">
        <w:rPr>
          <w:b/>
          <w:w w:val="115"/>
        </w:rPr>
        <w:t>V</w:t>
      </w:r>
      <w:r w:rsidR="00B243F3" w:rsidRPr="00671411">
        <w:rPr>
          <w:b/>
          <w:w w:val="115"/>
        </w:rPr>
        <w:t xml:space="preserve">alues are </w:t>
      </w:r>
      <w:r w:rsidRPr="00671411">
        <w:rPr>
          <w:b/>
          <w:w w:val="115"/>
        </w:rPr>
        <w:t>c</w:t>
      </w:r>
      <w:r w:rsidR="00B243F3" w:rsidRPr="00671411">
        <w:rPr>
          <w:b/>
          <w:w w:val="115"/>
        </w:rPr>
        <w:t xml:space="preserve">entral to </w:t>
      </w:r>
      <w:r w:rsidRPr="00671411">
        <w:rPr>
          <w:b/>
          <w:w w:val="115"/>
        </w:rPr>
        <w:t>a</w:t>
      </w:r>
      <w:r w:rsidR="00B243F3" w:rsidRPr="00671411">
        <w:rPr>
          <w:b/>
          <w:w w:val="115"/>
        </w:rPr>
        <w:t>uthenticity – to “</w:t>
      </w:r>
      <w:r w:rsidRPr="00671411">
        <w:rPr>
          <w:b/>
          <w:w w:val="115"/>
        </w:rPr>
        <w:t>a</w:t>
      </w:r>
      <w:r w:rsidR="00B243F3" w:rsidRPr="00671411">
        <w:rPr>
          <w:b/>
          <w:w w:val="115"/>
        </w:rPr>
        <w:t>uthe</w:t>
      </w:r>
      <w:r w:rsidRPr="00671411">
        <w:rPr>
          <w:b/>
          <w:w w:val="115"/>
        </w:rPr>
        <w:t>ntic l</w:t>
      </w:r>
      <w:r w:rsidR="00B243F3" w:rsidRPr="00671411">
        <w:rPr>
          <w:b/>
          <w:w w:val="115"/>
        </w:rPr>
        <w:t>eadership</w:t>
      </w:r>
      <w:r w:rsidRPr="00671411">
        <w:rPr>
          <w:b/>
          <w:w w:val="115"/>
        </w:rPr>
        <w:t>,</w:t>
      </w:r>
      <w:r w:rsidR="00B243F3" w:rsidRPr="00671411">
        <w:rPr>
          <w:b/>
          <w:w w:val="115"/>
        </w:rPr>
        <w:t>”</w:t>
      </w:r>
      <w:r w:rsidRPr="00671411">
        <w:rPr>
          <w:b/>
          <w:w w:val="115"/>
        </w:rPr>
        <w:t xml:space="preserve"> </w:t>
      </w:r>
      <w:r w:rsidR="007766E3" w:rsidRPr="00671411">
        <w:rPr>
          <w:b/>
          <w:w w:val="115"/>
        </w:rPr>
        <w:t xml:space="preserve">and the </w:t>
      </w:r>
      <w:r w:rsidRPr="00671411">
        <w:rPr>
          <w:b/>
          <w:w w:val="115"/>
        </w:rPr>
        <w:t>e</w:t>
      </w:r>
      <w:r w:rsidR="007766E3" w:rsidRPr="00671411">
        <w:rPr>
          <w:b/>
          <w:w w:val="115"/>
        </w:rPr>
        <w:t xml:space="preserve">lectorate is </w:t>
      </w:r>
      <w:r w:rsidRPr="00671411">
        <w:rPr>
          <w:b/>
          <w:w w:val="115"/>
        </w:rPr>
        <w:t>c</w:t>
      </w:r>
      <w:r w:rsidR="007766E3" w:rsidRPr="00671411">
        <w:rPr>
          <w:b/>
          <w:w w:val="115"/>
        </w:rPr>
        <w:t xml:space="preserve">rying </w:t>
      </w:r>
      <w:r w:rsidRPr="00671411">
        <w:rPr>
          <w:b/>
          <w:w w:val="115"/>
        </w:rPr>
        <w:t>o</w:t>
      </w:r>
      <w:r w:rsidR="007766E3" w:rsidRPr="00671411">
        <w:rPr>
          <w:b/>
          <w:w w:val="115"/>
        </w:rPr>
        <w:t xml:space="preserve">ut for </w:t>
      </w:r>
      <w:r w:rsidRPr="00671411">
        <w:rPr>
          <w:b/>
          <w:w w:val="115"/>
        </w:rPr>
        <w:t>a</w:t>
      </w:r>
      <w:r w:rsidR="007766E3" w:rsidRPr="00671411">
        <w:rPr>
          <w:b/>
          <w:w w:val="115"/>
        </w:rPr>
        <w:t xml:space="preserve">uthentic </w:t>
      </w:r>
      <w:r w:rsidRPr="00671411">
        <w:rPr>
          <w:b/>
          <w:w w:val="115"/>
        </w:rPr>
        <w:t>l</w:t>
      </w:r>
      <w:r w:rsidR="007766E3" w:rsidRPr="00671411">
        <w:rPr>
          <w:b/>
          <w:w w:val="115"/>
        </w:rPr>
        <w:t>eadership.</w:t>
      </w:r>
    </w:p>
    <w:p w:rsidR="00B243F3" w:rsidRPr="00B243F3" w:rsidRDefault="00B243F3" w:rsidP="00B243F3">
      <w:pPr>
        <w:widowControl/>
        <w:spacing w:after="200" w:line="276" w:lineRule="auto"/>
        <w:contextualSpacing/>
        <w:rPr>
          <w:b/>
          <w:w w:val="115"/>
        </w:rPr>
      </w:pPr>
    </w:p>
    <w:p w:rsidR="006D4898" w:rsidRDefault="00B243F3" w:rsidP="00B243F3">
      <w:pPr>
        <w:widowControl/>
        <w:spacing w:after="200" w:line="276" w:lineRule="auto"/>
        <w:contextualSpacing/>
      </w:pPr>
      <w:r>
        <w:t>Polling data suggest that much of the appeal of candidate Trump was indeed his apparent authenticity.  Those who voted for him frequently referred to his being “real</w:t>
      </w:r>
      <w:r w:rsidR="006D4898">
        <w:t>,</w:t>
      </w:r>
      <w:r>
        <w:t>” or “genuine</w:t>
      </w:r>
      <w:r w:rsidR="006D4898">
        <w:t>,</w:t>
      </w:r>
      <w:r>
        <w:t xml:space="preserve">” or </w:t>
      </w:r>
      <w:r w:rsidR="006D4898">
        <w:t>“</w:t>
      </w:r>
      <w:r>
        <w:t>authentic</w:t>
      </w:r>
      <w:r w:rsidR="006D4898">
        <w:t>,</w:t>
      </w:r>
      <w:r>
        <w:t xml:space="preserve">” </w:t>
      </w:r>
      <w:r w:rsidR="006D4898">
        <w:t xml:space="preserve">– the opposite of being “politically correct.”  </w:t>
      </w:r>
      <w:r>
        <w:t xml:space="preserve">And now, in the immediate aftermath of his election, the same voters – including </w:t>
      </w:r>
      <w:r w:rsidR="006D4898">
        <w:t xml:space="preserve">even </w:t>
      </w:r>
      <w:r>
        <w:t>tho</w:t>
      </w:r>
      <w:r w:rsidR="006D4898">
        <w:t xml:space="preserve">se who </w:t>
      </w:r>
      <w:r w:rsidR="009C2B4C">
        <w:t xml:space="preserve">observe </w:t>
      </w:r>
      <w:r w:rsidR="006D4898">
        <w:t>a litany of errors of the Administration’s own making – continue to assert their support for President Trump, most often, by suggesting that he is, at least “trying to do the right thing,” or that he is “doing what he said he would do.”  In other wor</w:t>
      </w:r>
      <w:r w:rsidR="00C03AC4">
        <w:t>ds, supporters c</w:t>
      </w:r>
      <w:r w:rsidR="006D4898">
        <w:t>ite his authenticity as the reason for their adherence.</w:t>
      </w:r>
    </w:p>
    <w:p w:rsidR="006D4898" w:rsidRDefault="006D4898" w:rsidP="00B243F3">
      <w:pPr>
        <w:widowControl/>
        <w:spacing w:after="200" w:line="276" w:lineRule="auto"/>
        <w:contextualSpacing/>
      </w:pPr>
    </w:p>
    <w:p w:rsidR="009C2B4C" w:rsidRDefault="00C03AC4" w:rsidP="00B243F3">
      <w:pPr>
        <w:widowControl/>
        <w:spacing w:after="200" w:line="276" w:lineRule="auto"/>
        <w:contextualSpacing/>
      </w:pPr>
      <w:r>
        <w:t>In leadership classes I provide to MBA candidates and executive program participants</w:t>
      </w:r>
      <w:r w:rsidR="00F33008">
        <w:t xml:space="preserve"> </w:t>
      </w:r>
      <w:proofErr w:type="gramStart"/>
      <w:r w:rsidR="00F33008">
        <w:t>an</w:t>
      </w:r>
      <w:proofErr w:type="gramEnd"/>
      <w:r w:rsidR="00F33008">
        <w:t xml:space="preserve"> </w:t>
      </w:r>
      <w:r w:rsidR="00B7795F">
        <w:t xml:space="preserve">opportunity for </w:t>
      </w:r>
      <w:r w:rsidR="00673100">
        <w:t xml:space="preserve">(i.e. require) </w:t>
      </w:r>
      <w:r w:rsidR="00B7795F">
        <w:t>e</w:t>
      </w:r>
      <w:r>
        <w:t xml:space="preserve">ach aspiring leader to </w:t>
      </w:r>
      <w:r w:rsidR="005A5775">
        <w:t xml:space="preserve">attempt to </w:t>
      </w:r>
      <w:r>
        <w:t>understand and articulate her</w:t>
      </w:r>
      <w:r w:rsidR="00673100">
        <w:t xml:space="preserve"> or his </w:t>
      </w:r>
      <w:r>
        <w:t>values – for three reasons</w:t>
      </w:r>
      <w:r w:rsidR="007766E3">
        <w:t xml:space="preserve"> especially germane to leaders operating within complex environments.</w:t>
      </w:r>
    </w:p>
    <w:p w:rsidR="009C2B4C" w:rsidRDefault="009C2B4C" w:rsidP="009C2B4C">
      <w:pPr>
        <w:pStyle w:val="ListParagraph"/>
        <w:widowControl/>
        <w:numPr>
          <w:ilvl w:val="0"/>
          <w:numId w:val="2"/>
        </w:numPr>
        <w:spacing w:after="200" w:line="276" w:lineRule="auto"/>
        <w:contextualSpacing/>
      </w:pPr>
      <w:r>
        <w:t>K</w:t>
      </w:r>
      <w:r w:rsidR="00C03AC4">
        <w:t xml:space="preserve">nowing one’s own values allows a leader to act </w:t>
      </w:r>
      <w:r w:rsidR="007766E3">
        <w:t xml:space="preserve">with integrity </w:t>
      </w:r>
      <w:r w:rsidR="00C03AC4">
        <w:t xml:space="preserve">in the face of </w:t>
      </w:r>
      <w:r w:rsidR="007766E3">
        <w:t xml:space="preserve">changing and unpredictable events.  The consistency itself tends to cultivate loyalty and confidence – confidence in the organization </w:t>
      </w:r>
      <w:r w:rsidR="00366E61">
        <w:t xml:space="preserve">and in its leaders </w:t>
      </w:r>
      <w:r w:rsidR="007766E3">
        <w:t>and confidence within the organization</w:t>
      </w:r>
      <w:r>
        <w:t xml:space="preserve"> about the leader.</w:t>
      </w:r>
    </w:p>
    <w:p w:rsidR="009C2B4C" w:rsidRDefault="009C2B4C" w:rsidP="009C2B4C">
      <w:pPr>
        <w:pStyle w:val="ListParagraph"/>
        <w:widowControl/>
        <w:numPr>
          <w:ilvl w:val="0"/>
          <w:numId w:val="2"/>
        </w:numPr>
        <w:spacing w:after="200" w:line="276" w:lineRule="auto"/>
        <w:contextualSpacing/>
      </w:pPr>
      <w:r>
        <w:t>K</w:t>
      </w:r>
      <w:r w:rsidR="007766E3">
        <w:t xml:space="preserve">nowing one’s own values, and acting in accord of them, allows the leader to live with </w:t>
      </w:r>
      <w:proofErr w:type="gramStart"/>
      <w:r w:rsidR="007766E3">
        <w:t>herself</w:t>
      </w:r>
      <w:proofErr w:type="gramEnd"/>
      <w:r w:rsidR="007766E3">
        <w:t xml:space="preserve"> or himself</w:t>
      </w:r>
      <w:r w:rsidR="00673100">
        <w:t xml:space="preserve"> when making a controversial decision</w:t>
      </w:r>
      <w:r>
        <w:t xml:space="preserve">, even if a </w:t>
      </w:r>
      <w:r w:rsidR="007766E3">
        <w:t xml:space="preserve">decision made ultimately proves </w:t>
      </w:r>
      <w:r>
        <w:t>unsuccessful.  Internal</w:t>
      </w:r>
      <w:r w:rsidR="00B7795F">
        <w:t xml:space="preserve">, cognitive </w:t>
      </w:r>
      <w:r>
        <w:t xml:space="preserve">conflict is </w:t>
      </w:r>
      <w:r w:rsidR="00052476">
        <w:t>minimized</w:t>
      </w:r>
      <w:r w:rsidR="00366E61">
        <w:t xml:space="preserve">, </w:t>
      </w:r>
      <w:r w:rsidR="00AE0E39">
        <w:t xml:space="preserve">freeing </w:t>
      </w:r>
      <w:r w:rsidR="00366E61">
        <w:t>the leader to focus on emerging opportunities and challenges</w:t>
      </w:r>
      <w:r w:rsidR="007766E3">
        <w:t>.</w:t>
      </w:r>
    </w:p>
    <w:p w:rsidR="009C2B4C" w:rsidRDefault="009C2B4C" w:rsidP="009C2B4C">
      <w:pPr>
        <w:pStyle w:val="ListParagraph"/>
        <w:widowControl/>
        <w:numPr>
          <w:ilvl w:val="0"/>
          <w:numId w:val="2"/>
        </w:numPr>
        <w:spacing w:after="200" w:line="276" w:lineRule="auto"/>
        <w:contextualSpacing/>
      </w:pPr>
      <w:r>
        <w:t xml:space="preserve">Knowing one’s own values and then comparing them to an organization’s values, helps a prospective leader recognize whether she or he is </w:t>
      </w:r>
      <w:r w:rsidR="00B7795F">
        <w:t>compatible</w:t>
      </w:r>
      <w:r>
        <w:t xml:space="preserve"> </w:t>
      </w:r>
      <w:r w:rsidR="00B7795F">
        <w:t xml:space="preserve">with that </w:t>
      </w:r>
      <w:r>
        <w:t>organization.</w:t>
      </w:r>
    </w:p>
    <w:p w:rsidR="009C2B4C" w:rsidRDefault="009C2B4C" w:rsidP="009C2B4C">
      <w:pPr>
        <w:widowControl/>
        <w:spacing w:after="200" w:line="276" w:lineRule="auto"/>
        <w:contextualSpacing/>
      </w:pPr>
      <w:r>
        <w:t xml:space="preserve">The </w:t>
      </w:r>
      <w:r w:rsidR="00B7795F">
        <w:t xml:space="preserve">third reason listed </w:t>
      </w:r>
      <w:r>
        <w:t xml:space="preserve">requires that the prospective leader know not only her or his values, but the values of the entity she or he is </w:t>
      </w:r>
      <w:r w:rsidR="00B7795F">
        <w:t xml:space="preserve">contemplating </w:t>
      </w:r>
      <w:r w:rsidR="00877CF1">
        <w:t xml:space="preserve">joining.  The </w:t>
      </w:r>
      <w:r w:rsidR="00877CF1" w:rsidRPr="00877CF1">
        <w:rPr>
          <w:i/>
        </w:rPr>
        <w:t>Discourse</w:t>
      </w:r>
      <w:r>
        <w:t xml:space="preserve"> is, in essence, taking a crack at doing exactly that.  </w:t>
      </w:r>
      <w:r w:rsidR="00366E61" w:rsidRPr="00D66E93">
        <w:rPr>
          <w:i/>
        </w:rPr>
        <w:t xml:space="preserve">The </w:t>
      </w:r>
      <w:r w:rsidR="00877CF1">
        <w:rPr>
          <w:i/>
        </w:rPr>
        <w:t>Discourse</w:t>
      </w:r>
      <w:r w:rsidR="00366E61" w:rsidRPr="00D66E93">
        <w:rPr>
          <w:i/>
        </w:rPr>
        <w:t xml:space="preserve"> is </w:t>
      </w:r>
      <w:r w:rsidRPr="00D66E93">
        <w:rPr>
          <w:i/>
        </w:rPr>
        <w:t>attempting to discern the</w:t>
      </w:r>
      <w:r w:rsidR="00366E61" w:rsidRPr="00D66E93">
        <w:rPr>
          <w:i/>
        </w:rPr>
        <w:t xml:space="preserve"> normative </w:t>
      </w:r>
      <w:r w:rsidRPr="00D66E93">
        <w:rPr>
          <w:i/>
        </w:rPr>
        <w:t>values</w:t>
      </w:r>
      <w:r w:rsidR="00366E61" w:rsidRPr="00D66E93">
        <w:rPr>
          <w:i/>
        </w:rPr>
        <w:t xml:space="preserve"> (i.e. what the values ought to be)</w:t>
      </w:r>
      <w:r w:rsidRPr="00D66E93">
        <w:rPr>
          <w:i/>
        </w:rPr>
        <w:t xml:space="preserve"> of the two major </w:t>
      </w:r>
      <w:r w:rsidR="00AE0E39">
        <w:rPr>
          <w:i/>
        </w:rPr>
        <w:t>entities</w:t>
      </w:r>
      <w:r w:rsidRPr="00D66E93">
        <w:rPr>
          <w:i/>
        </w:rPr>
        <w:t xml:space="preserve"> of the American political system</w:t>
      </w:r>
      <w:r w:rsidR="00AE0E39">
        <w:rPr>
          <w:i/>
        </w:rPr>
        <w:t xml:space="preserve"> – the Democratic Party and </w:t>
      </w:r>
      <w:r w:rsidR="00F33008">
        <w:rPr>
          <w:i/>
        </w:rPr>
        <w:t xml:space="preserve">the </w:t>
      </w:r>
      <w:r w:rsidR="00AE0E39">
        <w:rPr>
          <w:i/>
        </w:rPr>
        <w:t>Republican Party.</w:t>
      </w:r>
    </w:p>
    <w:p w:rsidR="00671411" w:rsidRDefault="00B20B9C" w:rsidP="005A2209">
      <w:pPr>
        <w:widowControl/>
        <w:spacing w:after="200" w:line="276" w:lineRule="auto"/>
        <w:ind w:left="360" w:hanging="360"/>
        <w:contextualSpacing/>
        <w:rPr>
          <w:b/>
        </w:rPr>
      </w:pPr>
      <w:r w:rsidRPr="00B20B9C">
        <w:rPr>
          <w:b/>
        </w:rPr>
        <w:lastRenderedPageBreak/>
        <w:t>2.</w:t>
      </w:r>
      <w:r w:rsidR="005A2209">
        <w:rPr>
          <w:b/>
        </w:rPr>
        <w:t xml:space="preserve">  The electorate votes for those it trusts</w:t>
      </w:r>
      <w:r w:rsidR="00AE0E39">
        <w:rPr>
          <w:b/>
        </w:rPr>
        <w:t>; t</w:t>
      </w:r>
      <w:r w:rsidR="005A2209">
        <w:rPr>
          <w:b/>
        </w:rPr>
        <w:t>he wise trust the trustworthy</w:t>
      </w:r>
      <w:r w:rsidR="00AE0E39">
        <w:rPr>
          <w:b/>
        </w:rPr>
        <w:t>; t</w:t>
      </w:r>
      <w:r w:rsidR="005A2209">
        <w:rPr>
          <w:b/>
        </w:rPr>
        <w:t>rustworthiness pre-requires explicit, aligned values</w:t>
      </w:r>
      <w:r w:rsidR="00F33008">
        <w:rPr>
          <w:b/>
        </w:rPr>
        <w:t xml:space="preserve"> (i.e. “benevolence”)</w:t>
      </w:r>
      <w:r w:rsidR="005A2209">
        <w:rPr>
          <w:b/>
        </w:rPr>
        <w:t>.</w:t>
      </w:r>
    </w:p>
    <w:p w:rsidR="00B20B9C" w:rsidRDefault="00B20B9C" w:rsidP="00B20B9C">
      <w:pPr>
        <w:widowControl/>
        <w:spacing w:after="200" w:line="276" w:lineRule="auto"/>
        <w:contextualSpacing/>
      </w:pPr>
    </w:p>
    <w:p w:rsidR="00465F98" w:rsidRDefault="005A2209" w:rsidP="00B20B9C">
      <w:pPr>
        <w:widowControl/>
        <w:spacing w:after="200" w:line="276" w:lineRule="auto"/>
        <w:contextualSpacing/>
      </w:pPr>
      <w:r>
        <w:t xml:space="preserve">Our </w:t>
      </w:r>
      <w:r w:rsidR="00465F98">
        <w:t xml:space="preserve">January </w:t>
      </w:r>
      <w:r w:rsidR="00F33008" w:rsidRPr="00F33008">
        <w:rPr>
          <w:i/>
        </w:rPr>
        <w:t>Discourse</w:t>
      </w:r>
      <w:r w:rsidR="00F33008">
        <w:rPr>
          <w:i/>
        </w:rPr>
        <w:t xml:space="preserve"> for Democracy</w:t>
      </w:r>
      <w:r w:rsidR="00F33008">
        <w:t xml:space="preserve">, we </w:t>
      </w:r>
      <w:r w:rsidR="00465F98">
        <w:t xml:space="preserve">investigated the idea of “trust.”  We noted that many candidates urge voters to trust them.  And in </w:t>
      </w:r>
      <w:r w:rsidR="001A144F">
        <w:t xml:space="preserve">American </w:t>
      </w:r>
      <w:r w:rsidR="00465F98">
        <w:t>society generally, citizens accept the need to build trust as an article of faith.</w:t>
      </w:r>
      <w:r w:rsidR="008E19A8">
        <w:t xml:space="preserve">  The more trust we have, the thinking goes, the better off we are.</w:t>
      </w:r>
    </w:p>
    <w:p w:rsidR="00465F98" w:rsidRDefault="00465F98" w:rsidP="00B20B9C">
      <w:pPr>
        <w:widowControl/>
        <w:spacing w:after="200" w:line="276" w:lineRule="auto"/>
        <w:contextualSpacing/>
      </w:pPr>
    </w:p>
    <w:p w:rsidR="00465F98" w:rsidRDefault="00465F98" w:rsidP="00B20B9C">
      <w:pPr>
        <w:widowControl/>
        <w:spacing w:after="200" w:line="276" w:lineRule="auto"/>
        <w:contextualSpacing/>
      </w:pPr>
      <w:r>
        <w:t>We examined trust by discussing a trust model that I proposed (below).  The model suggests that trust is not i</w:t>
      </w:r>
      <w:r w:rsidR="001A144F">
        <w:t>nherently desirable.  I dro</w:t>
      </w:r>
      <w:r>
        <w:t>ve home th</w:t>
      </w:r>
      <w:r w:rsidR="00004D8C">
        <w:t>e</w:t>
      </w:r>
      <w:r>
        <w:t xml:space="preserve"> point, by borrowing the story of Bernie </w:t>
      </w:r>
      <w:proofErr w:type="spellStart"/>
      <w:r>
        <w:t>Madoff</w:t>
      </w:r>
      <w:proofErr w:type="spellEnd"/>
      <w:r>
        <w:t xml:space="preserve">, who made-off with the money of those who gave him their trust (and savings).  </w:t>
      </w:r>
      <w:r w:rsidR="00673100">
        <w:t>We mentioned other examples, and c</w:t>
      </w:r>
      <w:r>
        <w:t>oncluded</w:t>
      </w:r>
      <w:r w:rsidR="00673100">
        <w:t xml:space="preserve"> that blind trust</w:t>
      </w:r>
      <w:r>
        <w:t xml:space="preserve">, </w:t>
      </w:r>
      <w:r w:rsidR="00C97B45">
        <w:t>whether in a business partner or a political l</w:t>
      </w:r>
      <w:r w:rsidR="00004D8C">
        <w:t>eader, is not desirable.  B</w:t>
      </w:r>
      <w:r w:rsidR="00C97B45">
        <w:t>luntly</w:t>
      </w:r>
      <w:r w:rsidR="00004D8C">
        <w:t xml:space="preserve"> stated</w:t>
      </w:r>
      <w:r w:rsidR="00C97B45">
        <w:t xml:space="preserve">, </w:t>
      </w:r>
      <w:r>
        <w:t>building trust for the sake of having more trust is a stupid goal.</w:t>
      </w:r>
    </w:p>
    <w:p w:rsidR="00465F98" w:rsidRDefault="00465F98" w:rsidP="00B20B9C">
      <w:pPr>
        <w:widowControl/>
        <w:spacing w:after="200" w:line="276" w:lineRule="auto"/>
        <w:contextualSpacing/>
      </w:pPr>
    </w:p>
    <w:p w:rsidR="008E19A8" w:rsidRDefault="008E19A8" w:rsidP="008E19A8">
      <w:pPr>
        <w:widowControl/>
        <w:spacing w:after="200" w:line="276" w:lineRule="auto"/>
        <w:contextualSpacing/>
        <w:jc w:val="center"/>
      </w:pPr>
      <w:r w:rsidRPr="008E19A8">
        <w:rPr>
          <w:noProof/>
        </w:rPr>
        <w:drawing>
          <wp:inline distT="0" distB="0" distL="0" distR="0">
            <wp:extent cx="4972050" cy="2000250"/>
            <wp:effectExtent l="19050" t="0" r="0" b="0"/>
            <wp:docPr id="3"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72205" cy="4509655"/>
                      <a:chOff x="137160" y="1143000"/>
                      <a:chExt cx="8972205" cy="4509655"/>
                    </a:xfrm>
                  </a:grpSpPr>
                  <a:grpSp>
                    <a:nvGrpSpPr>
                      <a:cNvPr id="2" name="Group 47"/>
                      <a:cNvGrpSpPr/>
                    </a:nvGrpSpPr>
                    <a:grpSpPr>
                      <a:xfrm>
                        <a:off x="137160" y="1143000"/>
                        <a:ext cx="8972205" cy="4509655"/>
                        <a:chOff x="137160" y="1143000"/>
                        <a:chExt cx="8972205" cy="4509655"/>
                      </a:xfrm>
                    </a:grpSpPr>
                    <a:sp>
                      <a:nvSpPr>
                        <a:cNvPr id="37" name="Rectangle 36"/>
                        <a:cNvSpPr/>
                      </a:nvSpPr>
                      <a:spPr>
                        <a:xfrm>
                          <a:off x="408710" y="2335601"/>
                          <a:ext cx="1905000" cy="2161310"/>
                        </a:xfrm>
                        <a:prstGeom prst="rect">
                          <a:avLst/>
                        </a:prstGeom>
                        <a:solidFill>
                          <a:schemeClr val="bg1"/>
                        </a:solidFill>
                        <a:ln>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ln>
                                <a:solidFill>
                                  <a:schemeClr val="tx1"/>
                                </a:solidFill>
                              </a:ln>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533400" y="2411801"/>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533400" y="2529566"/>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Ability</a:t>
                            </a:r>
                            <a:endParaRPr lang="en-US" dirty="0">
                              <a:latin typeface="Times New Roman" pitchFamily="18" charset="0"/>
                              <a:cs typeface="Times New Roman" pitchFamily="18" charset="0"/>
                            </a:endParaRPr>
                          </a:p>
                        </a:txBody>
                        <a:useSpRect/>
                      </a:txSp>
                    </a:sp>
                    <a:sp>
                      <a:nvSpPr>
                        <a:cNvPr id="7" name="Rectangle 6"/>
                        <a:cNvSpPr/>
                      </a:nvSpPr>
                      <a:spPr>
                        <a:xfrm>
                          <a:off x="533400" y="3811111"/>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533400" y="3923333"/>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Integrity</a:t>
                            </a:r>
                            <a:endParaRPr lang="en-US" dirty="0">
                              <a:latin typeface="Times New Roman" pitchFamily="18" charset="0"/>
                              <a:cs typeface="Times New Roman" pitchFamily="18" charset="0"/>
                            </a:endParaRPr>
                          </a:p>
                        </a:txBody>
                        <a:useSpRect/>
                      </a:txSp>
                    </a:sp>
                    <a:sp>
                      <a:nvSpPr>
                        <a:cNvPr id="9" name="Rectangle 8"/>
                        <a:cNvSpPr/>
                      </a:nvSpPr>
                      <a:spPr>
                        <a:xfrm>
                          <a:off x="533400" y="311699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533400" y="3218760"/>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Benevolence</a:t>
                            </a:r>
                            <a:endParaRPr lang="en-US" dirty="0">
                              <a:latin typeface="Times New Roman" pitchFamily="18" charset="0"/>
                              <a:cs typeface="Times New Roman" pitchFamily="18" charset="0"/>
                            </a:endParaRPr>
                          </a:p>
                        </a:txBody>
                        <a:useSpRect/>
                      </a:txSp>
                    </a:sp>
                    <a:sp>
                      <a:nvSpPr>
                        <a:cNvPr id="11" name="Rectangle 10"/>
                        <a:cNvSpPr/>
                      </a:nvSpPr>
                      <a:spPr>
                        <a:xfrm>
                          <a:off x="2514600" y="4342018"/>
                          <a:ext cx="2057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TextBox 11"/>
                        <a:cNvSpPr txBox="1"/>
                      </a:nvSpPr>
                      <a:spPr>
                        <a:xfrm>
                          <a:off x="2514600" y="4282166"/>
                          <a:ext cx="2057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Trustors’  (Voters’) Propensity</a:t>
                            </a:r>
                            <a:endParaRPr lang="en-US" dirty="0">
                              <a:latin typeface="Times New Roman" pitchFamily="18" charset="0"/>
                              <a:cs typeface="Times New Roman" pitchFamily="18" charset="0"/>
                            </a:endParaRPr>
                          </a:p>
                        </a:txBody>
                        <a:useSpRect/>
                      </a:txSp>
                    </a:sp>
                    <a:sp>
                      <a:nvSpPr>
                        <a:cNvPr id="13" name="Rectangle 12"/>
                        <a:cNvSpPr/>
                      </a:nvSpPr>
                      <a:spPr>
                        <a:xfrm>
                          <a:off x="7432965" y="314470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7432965" y="3261669"/>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Outcomes</a:t>
                            </a:r>
                            <a:endParaRPr lang="en-US" dirty="0">
                              <a:latin typeface="Times New Roman" pitchFamily="18" charset="0"/>
                              <a:cs typeface="Times New Roman" pitchFamily="18" charset="0"/>
                            </a:endParaRPr>
                          </a:p>
                        </a:txBody>
                        <a:useSpRect/>
                      </a:txSp>
                    </a:sp>
                    <a:sp>
                      <a:nvSpPr>
                        <a:cNvPr id="15" name="Rectangle 14"/>
                        <a:cNvSpPr/>
                      </a:nvSpPr>
                      <a:spPr>
                        <a:xfrm>
                          <a:off x="5508565" y="314470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5508565" y="3124326"/>
                          <a:ext cx="1676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Risk Taking in Relationship</a:t>
                            </a:r>
                            <a:endParaRPr lang="en-US" dirty="0">
                              <a:latin typeface="Times New Roman" pitchFamily="18" charset="0"/>
                              <a:cs typeface="Times New Roman" pitchFamily="18" charset="0"/>
                            </a:endParaRPr>
                          </a:p>
                        </a:txBody>
                        <a:useSpRect/>
                      </a:txSp>
                    </a:sp>
                    <a:sp>
                      <a:nvSpPr>
                        <a:cNvPr id="17" name="Rectangle 16"/>
                        <a:cNvSpPr/>
                      </a:nvSpPr>
                      <a:spPr>
                        <a:xfrm>
                          <a:off x="3549535" y="314470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TextBox 17"/>
                        <a:cNvSpPr txBox="1"/>
                      </a:nvSpPr>
                      <a:spPr>
                        <a:xfrm>
                          <a:off x="3549535" y="3261669"/>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Trust</a:t>
                            </a:r>
                            <a:endParaRPr lang="en-US" dirty="0">
                              <a:latin typeface="Times New Roman" pitchFamily="18" charset="0"/>
                              <a:cs typeface="Times New Roman" pitchFamily="18" charset="0"/>
                            </a:endParaRPr>
                          </a:p>
                        </a:txBody>
                        <a:useSpRect/>
                      </a:txSp>
                    </a:sp>
                    <a:sp>
                      <a:nvSpPr>
                        <a:cNvPr id="19" name="Rectangle 18"/>
                        <a:cNvSpPr/>
                      </a:nvSpPr>
                      <a:spPr>
                        <a:xfrm>
                          <a:off x="2590800" y="1925509"/>
                          <a:ext cx="1676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2590795" y="2041125"/>
                          <a:ext cx="1676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Perceived Risk</a:t>
                            </a:r>
                            <a:endParaRPr lang="en-US" dirty="0">
                              <a:latin typeface="Times New Roman" pitchFamily="18" charset="0"/>
                              <a:cs typeface="Times New Roman" pitchFamily="18" charset="0"/>
                            </a:endParaRPr>
                          </a:p>
                        </a:txBody>
                        <a:useSpRect/>
                      </a:txSp>
                    </a:sp>
                    <a:cxnSp>
                      <a:nvCxnSpPr>
                        <a:cNvPr id="24" name="Straight Arrow Connector 23"/>
                        <a:cNvCxnSpPr/>
                      </a:nvCxnSpPr>
                      <a:spPr>
                        <a:xfrm>
                          <a:off x="2364970" y="3430111"/>
                          <a:ext cx="118872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7165570" y="3430111"/>
                          <a:ext cx="27432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a:off x="5225935" y="3430111"/>
                          <a:ext cx="27432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3124199" y="2515711"/>
                          <a:ext cx="0" cy="9144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a:off x="8305800" y="3748766"/>
                          <a:ext cx="0" cy="11887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rot="5400000">
                          <a:off x="6568440" y="3216751"/>
                          <a:ext cx="0" cy="34747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rot="5400000">
                          <a:off x="1325880" y="4146391"/>
                          <a:ext cx="0" cy="237744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38" name="TextBox 37"/>
                        <a:cNvSpPr txBox="1"/>
                      </a:nvSpPr>
                      <a:spPr>
                        <a:xfrm>
                          <a:off x="408710" y="1703130"/>
                          <a:ext cx="1905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Factors of  Trustworthiness</a:t>
                            </a:r>
                            <a:endParaRPr lang="en-US" dirty="0">
                              <a:latin typeface="Times New Roman" pitchFamily="18" charset="0"/>
                              <a:cs typeface="Times New Roman" pitchFamily="18" charset="0"/>
                            </a:endParaRPr>
                          </a:p>
                        </a:txBody>
                        <a:useSpRect/>
                      </a:txSp>
                    </a:sp>
                    <a:sp>
                      <a:nvSpPr>
                        <a:cNvPr id="39" name="Rectangle 38"/>
                        <a:cNvSpPr/>
                      </a:nvSpPr>
                      <a:spPr>
                        <a:xfrm>
                          <a:off x="2514600" y="5062453"/>
                          <a:ext cx="2057400" cy="590202"/>
                        </a:xfrm>
                        <a:prstGeom prst="rect">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TextBox 39"/>
                        <a:cNvSpPr txBox="1"/>
                      </a:nvSpPr>
                      <a:spPr>
                        <a:xfrm>
                          <a:off x="2514600" y="5002601"/>
                          <a:ext cx="2039112"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Times New Roman" pitchFamily="18" charset="0"/>
                                <a:cs typeface="Times New Roman" pitchFamily="18" charset="0"/>
                              </a:rPr>
                              <a:t>Trustors’  (Voters’) Perceptions</a:t>
                            </a:r>
                            <a:endParaRPr lang="en-US" dirty="0">
                              <a:latin typeface="Times New Roman" pitchFamily="18" charset="0"/>
                              <a:cs typeface="Times New Roman" pitchFamily="18" charset="0"/>
                            </a:endParaRPr>
                          </a:p>
                        </a:txBody>
                        <a:useSpRect/>
                      </a:txSp>
                    </a:sp>
                    <a:cxnSp>
                      <a:nvCxnSpPr>
                        <a:cNvPr id="41" name="Straight Arrow Connector 40"/>
                        <a:cNvCxnSpPr/>
                      </a:nvCxnSpPr>
                      <a:spPr>
                        <a:xfrm>
                          <a:off x="152400" y="3430111"/>
                          <a:ext cx="27432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nvCxnSpPr>
                      <a:spPr>
                        <a:xfrm rot="10800000">
                          <a:off x="2895600" y="3416256"/>
                          <a:ext cx="0" cy="9144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rot="5400000">
                          <a:off x="4725785" y="5170241"/>
                          <a:ext cx="0" cy="2743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152400" y="3416256"/>
                          <a:ext cx="0" cy="192024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rot="10800000">
                          <a:off x="4842166" y="4582810"/>
                          <a:ext cx="0" cy="7315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a:off x="4723015" y="4470586"/>
                          <a:ext cx="0" cy="274320"/>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3261033" y="1143000"/>
                          <a:ext cx="23777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latin typeface="Times New Roman" pitchFamily="18" charset="0"/>
                                <a:cs typeface="Times New Roman" pitchFamily="18" charset="0"/>
                              </a:rPr>
                              <a:t>Proposed Trust Model</a:t>
                            </a:r>
                            <a:endParaRPr lang="en-US" b="1" dirty="0">
                              <a:latin typeface="Times New Roman" pitchFamily="18" charset="0"/>
                              <a:cs typeface="Times New Roman" pitchFamily="18" charset="0"/>
                            </a:endParaRPr>
                          </a:p>
                        </a:txBody>
                        <a:useSpRect/>
                      </a:txSp>
                    </a:sp>
                  </a:grpSp>
                </lc:lockedCanvas>
              </a:graphicData>
            </a:graphic>
          </wp:inline>
        </w:drawing>
      </w:r>
    </w:p>
    <w:p w:rsidR="008E19A8" w:rsidRDefault="008E19A8" w:rsidP="008E19A8">
      <w:pPr>
        <w:widowControl/>
        <w:spacing w:after="200" w:line="276" w:lineRule="auto"/>
        <w:contextualSpacing/>
        <w:jc w:val="center"/>
      </w:pPr>
    </w:p>
    <w:p w:rsidR="00465F98" w:rsidRDefault="00F9602A" w:rsidP="00B20B9C">
      <w:pPr>
        <w:widowControl/>
        <w:spacing w:after="200" w:line="276" w:lineRule="auto"/>
        <w:contextualSpacing/>
      </w:pPr>
      <w:r>
        <w:t>W</w:t>
      </w:r>
      <w:r w:rsidR="008E19A8">
        <w:t xml:space="preserve">e recognized </w:t>
      </w:r>
      <w:r>
        <w:t xml:space="preserve">also </w:t>
      </w:r>
      <w:r w:rsidR="008E19A8">
        <w:t>that t</w:t>
      </w:r>
      <w:r w:rsidR="00465F98">
        <w:t>r</w:t>
      </w:r>
      <w:r w:rsidR="008E19A8">
        <w:t>u</w:t>
      </w:r>
      <w:r w:rsidR="00465F98">
        <w:t xml:space="preserve">st is something that people </w:t>
      </w:r>
      <w:r w:rsidR="00C97B45">
        <w:t xml:space="preserve">or organizations </w:t>
      </w:r>
      <w:r w:rsidR="00465F98">
        <w:t>bestow</w:t>
      </w:r>
      <w:r w:rsidR="00C97B45">
        <w:t xml:space="preserve"> upon others; it is not something a person or organization can rightfully demand.  </w:t>
      </w:r>
      <w:r w:rsidR="00465F98">
        <w:t xml:space="preserve">The </w:t>
      </w:r>
      <w:r>
        <w:t xml:space="preserve">trust </w:t>
      </w:r>
      <w:r w:rsidR="00C97B45">
        <w:t xml:space="preserve">model </w:t>
      </w:r>
      <w:r w:rsidR="00465F98">
        <w:t xml:space="preserve">implies a relationship </w:t>
      </w:r>
      <w:r w:rsidR="00C97B45">
        <w:t>between a (prospective) trustee and a (prospective)</w:t>
      </w:r>
      <w:r w:rsidR="001A144F">
        <w:t xml:space="preserve"> “</w:t>
      </w:r>
      <w:proofErr w:type="spellStart"/>
      <w:r w:rsidR="001A144F">
        <w:t>trustor</w:t>
      </w:r>
      <w:proofErr w:type="spellEnd"/>
      <w:r>
        <w:t>,</w:t>
      </w:r>
      <w:r w:rsidR="001A144F">
        <w:t>”</w:t>
      </w:r>
      <w:r>
        <w:t xml:space="preserve"> whereby </w:t>
      </w:r>
      <w:r w:rsidR="001A144F">
        <w:t xml:space="preserve">the prospective trustee must </w:t>
      </w:r>
      <w:r>
        <w:t xml:space="preserve">present </w:t>
      </w:r>
      <w:r w:rsidR="001A144F">
        <w:t xml:space="preserve">reason </w:t>
      </w:r>
      <w:r>
        <w:t xml:space="preserve">for </w:t>
      </w:r>
      <w:r w:rsidR="001A144F">
        <w:t xml:space="preserve">the prospective </w:t>
      </w:r>
      <w:proofErr w:type="spellStart"/>
      <w:r w:rsidR="001A144F">
        <w:t>trustor</w:t>
      </w:r>
      <w:proofErr w:type="spellEnd"/>
      <w:r w:rsidR="001A144F">
        <w:t xml:space="preserve"> to </w:t>
      </w:r>
      <w:r>
        <w:t>bestow her or his trust.  The reason</w:t>
      </w:r>
      <w:r w:rsidR="00987702">
        <w:t xml:space="preserve"> for a (prospective) </w:t>
      </w:r>
      <w:proofErr w:type="spellStart"/>
      <w:r w:rsidR="00987702">
        <w:t>trustor</w:t>
      </w:r>
      <w:proofErr w:type="spellEnd"/>
      <w:r w:rsidR="00987702">
        <w:t xml:space="preserve"> to </w:t>
      </w:r>
      <w:r w:rsidR="005A5775">
        <w:t>trust</w:t>
      </w:r>
      <w:r w:rsidR="00987702">
        <w:t xml:space="preserve"> is</w:t>
      </w:r>
      <w:r>
        <w:t>, in summary</w:t>
      </w:r>
      <w:r w:rsidR="00004D8C">
        <w:t>,</w:t>
      </w:r>
      <w:r>
        <w:t xml:space="preserve"> </w:t>
      </w:r>
      <w:r w:rsidR="005A5775">
        <w:t>found in the (prospective) trustee’s trustworthiness.</w:t>
      </w:r>
      <w:r w:rsidR="001A144F">
        <w:t xml:space="preserve"> </w:t>
      </w:r>
    </w:p>
    <w:p w:rsidR="00465F98" w:rsidRDefault="00465F98" w:rsidP="00B20B9C">
      <w:pPr>
        <w:widowControl/>
        <w:spacing w:after="200" w:line="276" w:lineRule="auto"/>
        <w:contextualSpacing/>
      </w:pPr>
    </w:p>
    <w:p w:rsidR="00673100" w:rsidRDefault="00673100" w:rsidP="00B20B9C">
      <w:pPr>
        <w:widowControl/>
        <w:spacing w:after="200" w:line="276" w:lineRule="auto"/>
        <w:contextualSpacing/>
      </w:pPr>
      <w:r>
        <w:t>And finally, we recognized – although we didn’t require much discussion – that having the trust of constituents would be helpful to a candidate or to an organization</w:t>
      </w:r>
      <w:r w:rsidR="005A5775">
        <w:t xml:space="preserve"> to get things done</w:t>
      </w:r>
      <w:r>
        <w:t xml:space="preserve">.  </w:t>
      </w:r>
      <w:r w:rsidR="005A5775">
        <w:t xml:space="preserve">Having the trust of others is empowering.  </w:t>
      </w:r>
      <w:r>
        <w:t xml:space="preserve">Having the trust of many bestowed upon a political entity would likely aid that entity in </w:t>
      </w:r>
      <w:r w:rsidR="00802ABF">
        <w:t xml:space="preserve">achieving </w:t>
      </w:r>
      <w:r>
        <w:t xml:space="preserve">political success.  </w:t>
      </w:r>
    </w:p>
    <w:p w:rsidR="00673100" w:rsidRDefault="00673100" w:rsidP="00B20B9C">
      <w:pPr>
        <w:widowControl/>
        <w:spacing w:after="200" w:line="276" w:lineRule="auto"/>
        <w:contextualSpacing/>
      </w:pPr>
    </w:p>
    <w:p w:rsidR="00F9602A" w:rsidRDefault="008E19A8" w:rsidP="00F9602A">
      <w:pPr>
        <w:widowControl/>
        <w:spacing w:after="200" w:line="276" w:lineRule="auto"/>
        <w:contextualSpacing/>
      </w:pPr>
      <w:r>
        <w:t xml:space="preserve">The discussion helped us to </w:t>
      </w:r>
      <w:r w:rsidR="00987702">
        <w:t xml:space="preserve">acknowledge (and probably reach consensus on) </w:t>
      </w:r>
      <w:r>
        <w:t>three ideas.</w:t>
      </w:r>
    </w:p>
    <w:p w:rsidR="00F9602A" w:rsidRDefault="008E19A8" w:rsidP="008E19A8">
      <w:pPr>
        <w:pStyle w:val="ListParagraph"/>
        <w:widowControl/>
        <w:numPr>
          <w:ilvl w:val="0"/>
          <w:numId w:val="11"/>
        </w:numPr>
        <w:spacing w:after="200" w:line="276" w:lineRule="auto"/>
        <w:contextualSpacing/>
      </w:pPr>
      <w:r>
        <w:t xml:space="preserve">We ought </w:t>
      </w:r>
      <w:proofErr w:type="gramStart"/>
      <w:r>
        <w:t>not</w:t>
      </w:r>
      <w:proofErr w:type="gramEnd"/>
      <w:r>
        <w:t xml:space="preserve"> desire to trust more per se.</w:t>
      </w:r>
    </w:p>
    <w:p w:rsidR="008E19A8" w:rsidRDefault="008E19A8" w:rsidP="008E19A8">
      <w:pPr>
        <w:pStyle w:val="ListParagraph"/>
        <w:widowControl/>
        <w:numPr>
          <w:ilvl w:val="0"/>
          <w:numId w:val="11"/>
        </w:numPr>
        <w:spacing w:after="200" w:line="276" w:lineRule="auto"/>
        <w:contextualSpacing/>
      </w:pPr>
      <w:r>
        <w:t>We ought to direct our trust intelligently, to those whom are trustworthy.</w:t>
      </w:r>
    </w:p>
    <w:p w:rsidR="00465F98" w:rsidRDefault="00004D8C" w:rsidP="00F9602A">
      <w:pPr>
        <w:pStyle w:val="ListParagraph"/>
        <w:widowControl/>
        <w:numPr>
          <w:ilvl w:val="0"/>
          <w:numId w:val="11"/>
        </w:numPr>
        <w:spacing w:after="200" w:line="276" w:lineRule="auto"/>
        <w:contextualSpacing/>
      </w:pPr>
      <w:r>
        <w:t xml:space="preserve">Political </w:t>
      </w:r>
      <w:proofErr w:type="gramStart"/>
      <w:r>
        <w:t>entities,</w:t>
      </w:r>
      <w:proofErr w:type="gramEnd"/>
      <w:r>
        <w:t xml:space="preserve"> </w:t>
      </w:r>
      <w:r w:rsidR="00987702">
        <w:t xml:space="preserve">cannot demand trust, but they can and ought to act to </w:t>
      </w:r>
      <w:r>
        <w:t>build a</w:t>
      </w:r>
      <w:r w:rsidR="00987702">
        <w:t xml:space="preserve">nd maintain </w:t>
      </w:r>
      <w:r>
        <w:t>trustworthiness</w:t>
      </w:r>
      <w:r w:rsidR="00987702">
        <w:t xml:space="preserve"> </w:t>
      </w:r>
      <w:r w:rsidR="00802ABF">
        <w:t xml:space="preserve">and ensure that their trustworthiness is known to all possible </w:t>
      </w:r>
      <w:r w:rsidR="00987702">
        <w:t>constituents</w:t>
      </w:r>
      <w:r w:rsidR="00802ABF">
        <w:t xml:space="preserve"> or, in other words, </w:t>
      </w:r>
      <w:r w:rsidR="00987702">
        <w:t xml:space="preserve">prospective </w:t>
      </w:r>
      <w:proofErr w:type="spellStart"/>
      <w:r w:rsidR="00802ABF">
        <w:t>trustors</w:t>
      </w:r>
      <w:proofErr w:type="spellEnd"/>
      <w:r w:rsidR="00802ABF">
        <w:t>.</w:t>
      </w:r>
      <w:r w:rsidR="00673100">
        <w:t xml:space="preserve"> </w:t>
      </w:r>
    </w:p>
    <w:p w:rsidR="00B20B9C" w:rsidRDefault="0087384B" w:rsidP="00B20B9C">
      <w:pPr>
        <w:widowControl/>
        <w:spacing w:after="200" w:line="276" w:lineRule="auto"/>
        <w:contextualSpacing/>
      </w:pPr>
      <w:r>
        <w:lastRenderedPageBreak/>
        <w:t xml:space="preserve">The </w:t>
      </w:r>
      <w:r w:rsidR="00F33008" w:rsidRPr="00F33008">
        <w:rPr>
          <w:i/>
        </w:rPr>
        <w:t>Discourse</w:t>
      </w:r>
      <w:r>
        <w:t xml:space="preserve"> spent a </w:t>
      </w:r>
      <w:r w:rsidR="00987702">
        <w:t xml:space="preserve">significant amount of time of the </w:t>
      </w:r>
      <w:r w:rsidR="00004D8C">
        <w:t>January 2017</w:t>
      </w:r>
      <w:r w:rsidR="00987702">
        <w:t xml:space="preserve"> discuss</w:t>
      </w:r>
      <w:r>
        <w:t>ing w</w:t>
      </w:r>
      <w:r w:rsidR="00987702">
        <w:t xml:space="preserve">ays political entities can make evident two of the three pre-requirements of trust: ability and integrity.  In this March 2017 </w:t>
      </w:r>
      <w:r w:rsidR="00877CF1" w:rsidRPr="00877CF1">
        <w:rPr>
          <w:i/>
        </w:rPr>
        <w:t>Discourse</w:t>
      </w:r>
      <w:r w:rsidR="00987702">
        <w:t xml:space="preserve">, we concentrate on </w:t>
      </w:r>
      <w:r w:rsidR="00802ABF">
        <w:t xml:space="preserve">a third pre-requirement, </w:t>
      </w:r>
      <w:r w:rsidR="00987702">
        <w:t>“benevolence</w:t>
      </w:r>
      <w:r w:rsidR="00D66E93">
        <w:t>.</w:t>
      </w:r>
      <w:r w:rsidR="00987702">
        <w:t>”</w:t>
      </w:r>
      <w:r w:rsidR="00D66E93">
        <w:rPr>
          <w:rStyle w:val="FootnoteReference"/>
        </w:rPr>
        <w:footnoteReference w:id="1"/>
      </w:r>
      <w:r w:rsidR="00D66E93">
        <w:t xml:space="preserve">  </w:t>
      </w:r>
      <w:r w:rsidR="00D66E93" w:rsidRPr="00D66E93">
        <w:rPr>
          <w:i/>
        </w:rPr>
        <w:t xml:space="preserve">What </w:t>
      </w:r>
      <w:proofErr w:type="gramStart"/>
      <w:r w:rsidR="00D66E93" w:rsidRPr="00D66E93">
        <w:rPr>
          <w:i/>
        </w:rPr>
        <w:t>ought</w:t>
      </w:r>
      <w:proofErr w:type="gramEnd"/>
      <w:r w:rsidR="00D66E93" w:rsidRPr="00D66E93">
        <w:rPr>
          <w:i/>
        </w:rPr>
        <w:t xml:space="preserve"> be the values of the major political parties</w:t>
      </w:r>
      <w:r w:rsidR="00CE6860">
        <w:rPr>
          <w:i/>
        </w:rPr>
        <w:t>?</w:t>
      </w:r>
    </w:p>
    <w:p w:rsidR="005A2209" w:rsidRDefault="005A2209" w:rsidP="00B20B9C">
      <w:pPr>
        <w:widowControl/>
        <w:spacing w:after="200" w:line="276" w:lineRule="auto"/>
        <w:contextualSpacing/>
      </w:pPr>
    </w:p>
    <w:p w:rsidR="00B653DB" w:rsidRDefault="00B653DB" w:rsidP="00E03367">
      <w:pPr>
        <w:rPr>
          <w:b/>
          <w:w w:val="115"/>
        </w:rPr>
      </w:pPr>
      <w:proofErr w:type="gramStart"/>
      <w:r>
        <w:rPr>
          <w:b/>
          <w:w w:val="115"/>
        </w:rPr>
        <w:t xml:space="preserve">Bounding the activity of this </w:t>
      </w:r>
      <w:r w:rsidR="00877CF1" w:rsidRPr="00877CF1">
        <w:rPr>
          <w:b/>
          <w:i/>
          <w:w w:val="115"/>
        </w:rPr>
        <w:t>Discourse</w:t>
      </w:r>
      <w:r w:rsidR="00877CF1">
        <w:rPr>
          <w:b/>
          <w:w w:val="115"/>
        </w:rPr>
        <w:t xml:space="preserve"> discussion session</w:t>
      </w:r>
      <w:r>
        <w:rPr>
          <w:b/>
          <w:w w:val="115"/>
        </w:rPr>
        <w:t>.</w:t>
      </w:r>
      <w:proofErr w:type="gramEnd"/>
    </w:p>
    <w:p w:rsidR="00B653DB" w:rsidRDefault="00B653DB" w:rsidP="00E03367">
      <w:pPr>
        <w:rPr>
          <w:b/>
          <w:w w:val="115"/>
        </w:rPr>
      </w:pPr>
    </w:p>
    <w:p w:rsidR="000F0557" w:rsidRPr="00BC100F" w:rsidRDefault="00BC100F" w:rsidP="00E03367">
      <w:pPr>
        <w:rPr>
          <w:w w:val="115"/>
        </w:rPr>
      </w:pPr>
      <w:r w:rsidRPr="00BC100F">
        <w:rPr>
          <w:w w:val="115"/>
        </w:rPr>
        <w:t xml:space="preserve">In the second paragraph of this short introductory paper, I suggested that we will put our heads together to </w:t>
      </w:r>
      <w:r w:rsidR="000F0557" w:rsidRPr="00BC100F">
        <w:rPr>
          <w:i/>
          <w:w w:val="115"/>
        </w:rPr>
        <w:t>“</w:t>
      </w:r>
      <w:r w:rsidR="000F0557" w:rsidRPr="00BC100F">
        <w:rPr>
          <w:i/>
        </w:rPr>
        <w:t>begin to determine</w:t>
      </w:r>
      <w:r w:rsidRPr="00BC100F">
        <w:rPr>
          <w:i/>
        </w:rPr>
        <w:t>”</w:t>
      </w:r>
      <w:r w:rsidRPr="00BC100F">
        <w:t xml:space="preserve">… </w:t>
      </w:r>
      <w:r w:rsidR="00802ABF">
        <w:t xml:space="preserve">Given </w:t>
      </w:r>
      <w:r w:rsidR="00600C0E" w:rsidRPr="00BC100F">
        <w:rPr>
          <w:w w:val="115"/>
        </w:rPr>
        <w:t>the constraint</w:t>
      </w:r>
      <w:r w:rsidR="00A75CE9" w:rsidRPr="00BC100F">
        <w:rPr>
          <w:w w:val="115"/>
        </w:rPr>
        <w:t>s of our time together</w:t>
      </w:r>
      <w:r w:rsidR="00600C0E" w:rsidRPr="00BC100F">
        <w:rPr>
          <w:w w:val="115"/>
        </w:rPr>
        <w:t>,</w:t>
      </w:r>
      <w:r w:rsidR="00CE6860">
        <w:rPr>
          <w:w w:val="115"/>
        </w:rPr>
        <w:t xml:space="preserve"> we</w:t>
      </w:r>
      <w:r w:rsidR="00600C0E" w:rsidRPr="00BC100F">
        <w:rPr>
          <w:w w:val="115"/>
        </w:rPr>
        <w:t xml:space="preserve"> </w:t>
      </w:r>
      <w:r w:rsidR="00802ABF">
        <w:rPr>
          <w:w w:val="115"/>
        </w:rPr>
        <w:t xml:space="preserve">might </w:t>
      </w:r>
      <w:r w:rsidR="005322C9">
        <w:rPr>
          <w:w w:val="115"/>
        </w:rPr>
        <w:t xml:space="preserve">not </w:t>
      </w:r>
      <w:r w:rsidR="00600C0E" w:rsidRPr="00BC100F">
        <w:rPr>
          <w:w w:val="115"/>
        </w:rPr>
        <w:t xml:space="preserve">reach complete agreement or even general consensus as to what </w:t>
      </w:r>
      <w:r w:rsidR="001B1DF5">
        <w:rPr>
          <w:w w:val="115"/>
        </w:rPr>
        <w:t xml:space="preserve">either party’s </w:t>
      </w:r>
      <w:r w:rsidR="00600C0E" w:rsidRPr="00BC100F">
        <w:rPr>
          <w:w w:val="115"/>
        </w:rPr>
        <w:t>values are.</w:t>
      </w:r>
    </w:p>
    <w:p w:rsidR="000F0557" w:rsidRPr="00BC100F" w:rsidRDefault="000F0557" w:rsidP="00E03367">
      <w:pPr>
        <w:rPr>
          <w:w w:val="115"/>
        </w:rPr>
      </w:pPr>
    </w:p>
    <w:p w:rsidR="005322C9" w:rsidRDefault="00600C0E" w:rsidP="00E03367">
      <w:pPr>
        <w:rPr>
          <w:w w:val="115"/>
        </w:rPr>
      </w:pPr>
      <w:r>
        <w:rPr>
          <w:w w:val="115"/>
        </w:rPr>
        <w:t>To explore values</w:t>
      </w:r>
      <w:r w:rsidR="00802ABF" w:rsidRPr="00802ABF">
        <w:rPr>
          <w:w w:val="115"/>
        </w:rPr>
        <w:t xml:space="preserve"> </w:t>
      </w:r>
      <w:r w:rsidR="00802ABF">
        <w:rPr>
          <w:w w:val="115"/>
        </w:rPr>
        <w:t>thoroughly</w:t>
      </w:r>
      <w:r>
        <w:rPr>
          <w:w w:val="115"/>
        </w:rPr>
        <w:t>, we would need to enlist</w:t>
      </w:r>
      <w:r w:rsidR="00A75CE9">
        <w:rPr>
          <w:w w:val="115"/>
        </w:rPr>
        <w:t xml:space="preserve"> armies of people to canvas the </w:t>
      </w:r>
      <w:r>
        <w:rPr>
          <w:w w:val="115"/>
        </w:rPr>
        <w:t>public</w:t>
      </w:r>
      <w:r w:rsidR="00BC100F">
        <w:rPr>
          <w:w w:val="115"/>
        </w:rPr>
        <w:t xml:space="preserve"> since the political parties are supposed to reflect the </w:t>
      </w:r>
      <w:r w:rsidR="005322C9">
        <w:rPr>
          <w:w w:val="115"/>
        </w:rPr>
        <w:t xml:space="preserve">wishes of the </w:t>
      </w:r>
      <w:r w:rsidR="00BC100F">
        <w:rPr>
          <w:w w:val="115"/>
        </w:rPr>
        <w:t xml:space="preserve">people.  </w:t>
      </w:r>
      <w:r>
        <w:rPr>
          <w:w w:val="115"/>
        </w:rPr>
        <w:t>But</w:t>
      </w:r>
      <w:r w:rsidR="001B1DF5">
        <w:rPr>
          <w:w w:val="115"/>
        </w:rPr>
        <w:t xml:space="preserve"> even large scale polls might not </w:t>
      </w:r>
      <w:r w:rsidR="000F0557">
        <w:rPr>
          <w:w w:val="115"/>
        </w:rPr>
        <w:t>e</w:t>
      </w:r>
      <w:r>
        <w:rPr>
          <w:w w:val="115"/>
        </w:rPr>
        <w:t>nsure accuracy</w:t>
      </w:r>
      <w:r w:rsidR="00802ABF">
        <w:rPr>
          <w:w w:val="115"/>
        </w:rPr>
        <w:t>, however,</w:t>
      </w:r>
      <w:r w:rsidR="005322C9">
        <w:rPr>
          <w:w w:val="115"/>
        </w:rPr>
        <w:t xml:space="preserve"> if only because, we the people rarely think in abstract terms, and </w:t>
      </w:r>
      <w:r w:rsidR="000F0557">
        <w:rPr>
          <w:w w:val="115"/>
        </w:rPr>
        <w:t>the very notion of “values” is an abstraction</w:t>
      </w:r>
      <w:r w:rsidR="005322C9">
        <w:rPr>
          <w:w w:val="115"/>
        </w:rPr>
        <w:t xml:space="preserve">.  The </w:t>
      </w:r>
      <w:r w:rsidR="00A75CE9">
        <w:rPr>
          <w:w w:val="115"/>
        </w:rPr>
        <w:t xml:space="preserve">answers we </w:t>
      </w:r>
      <w:r w:rsidR="005322C9">
        <w:rPr>
          <w:w w:val="115"/>
        </w:rPr>
        <w:t xml:space="preserve">the people </w:t>
      </w:r>
      <w:r w:rsidR="00A75CE9">
        <w:rPr>
          <w:w w:val="115"/>
        </w:rPr>
        <w:t xml:space="preserve">would </w:t>
      </w:r>
      <w:r w:rsidR="005322C9">
        <w:rPr>
          <w:w w:val="115"/>
        </w:rPr>
        <w:t xml:space="preserve">provide </w:t>
      </w:r>
      <w:r w:rsidR="00A75CE9">
        <w:rPr>
          <w:w w:val="115"/>
        </w:rPr>
        <w:t>might be</w:t>
      </w:r>
      <w:r w:rsidR="00802ABF">
        <w:rPr>
          <w:w w:val="115"/>
        </w:rPr>
        <w:t xml:space="preserve"> </w:t>
      </w:r>
      <w:r w:rsidR="00A75CE9">
        <w:rPr>
          <w:w w:val="115"/>
        </w:rPr>
        <w:t>subject to hypothetical bias</w:t>
      </w:r>
      <w:r w:rsidR="00BC100F">
        <w:rPr>
          <w:w w:val="115"/>
        </w:rPr>
        <w:t xml:space="preserve"> or other</w:t>
      </w:r>
      <w:r w:rsidR="000F0557">
        <w:rPr>
          <w:w w:val="115"/>
        </w:rPr>
        <w:t>wise simply not altogether well thought through.</w:t>
      </w:r>
    </w:p>
    <w:p w:rsidR="005322C9" w:rsidRDefault="005322C9" w:rsidP="00E03367">
      <w:pPr>
        <w:rPr>
          <w:w w:val="115"/>
        </w:rPr>
      </w:pPr>
    </w:p>
    <w:p w:rsidR="00A75CE9" w:rsidRDefault="005322C9" w:rsidP="00E03367">
      <w:pPr>
        <w:rPr>
          <w:w w:val="115"/>
        </w:rPr>
      </w:pPr>
      <w:r>
        <w:rPr>
          <w:w w:val="115"/>
        </w:rPr>
        <w:t>M</w:t>
      </w:r>
      <w:r w:rsidR="00BC100F">
        <w:rPr>
          <w:w w:val="115"/>
        </w:rPr>
        <w:t xml:space="preserve">aybe we might want to enlist the help of historians who can remind </w:t>
      </w:r>
      <w:r w:rsidR="00CE6860">
        <w:rPr>
          <w:w w:val="115"/>
        </w:rPr>
        <w:t xml:space="preserve">us </w:t>
      </w:r>
      <w:r w:rsidR="00BC100F">
        <w:rPr>
          <w:w w:val="115"/>
        </w:rPr>
        <w:t xml:space="preserve">of the founders’ intent.  </w:t>
      </w:r>
      <w:r>
        <w:rPr>
          <w:w w:val="115"/>
        </w:rPr>
        <w:t xml:space="preserve">Doing so might jog our minds.  </w:t>
      </w:r>
      <w:r w:rsidR="00BC100F">
        <w:rPr>
          <w:w w:val="115"/>
        </w:rPr>
        <w:t xml:space="preserve">Or </w:t>
      </w:r>
      <w:r>
        <w:rPr>
          <w:w w:val="115"/>
        </w:rPr>
        <w:t>if</w:t>
      </w:r>
      <w:r w:rsidR="00BC100F">
        <w:rPr>
          <w:w w:val="115"/>
        </w:rPr>
        <w:t xml:space="preserve"> we really are a nation under God, then we might want to think about God’s intent.  Then again, we might have to ask, which god?  And yet still again, we might need to recollect that there are people who do not believe in God or a god and so </w:t>
      </w:r>
      <w:r>
        <w:rPr>
          <w:w w:val="115"/>
        </w:rPr>
        <w:t xml:space="preserve">we </w:t>
      </w:r>
      <w:r w:rsidR="00BC100F">
        <w:rPr>
          <w:w w:val="115"/>
        </w:rPr>
        <w:t xml:space="preserve">might </w:t>
      </w:r>
      <w:r>
        <w:rPr>
          <w:w w:val="115"/>
        </w:rPr>
        <w:t xml:space="preserve">have to think about how </w:t>
      </w:r>
      <w:r w:rsidR="00BC100F">
        <w:rPr>
          <w:w w:val="115"/>
        </w:rPr>
        <w:t xml:space="preserve">we </w:t>
      </w:r>
      <w:r>
        <w:rPr>
          <w:w w:val="115"/>
        </w:rPr>
        <w:t xml:space="preserve">could </w:t>
      </w:r>
      <w:r w:rsidR="00BC100F">
        <w:rPr>
          <w:w w:val="115"/>
        </w:rPr>
        <w:t>ensure the</w:t>
      </w:r>
      <w:r>
        <w:rPr>
          <w:w w:val="115"/>
        </w:rPr>
        <w:t>i</w:t>
      </w:r>
      <w:r w:rsidR="00BC100F">
        <w:rPr>
          <w:w w:val="115"/>
        </w:rPr>
        <w:t>r values are reflec</w:t>
      </w:r>
      <w:r w:rsidR="00802ABF">
        <w:rPr>
          <w:w w:val="115"/>
        </w:rPr>
        <w:t>ted in the list(s) we construct.</w:t>
      </w:r>
    </w:p>
    <w:p w:rsidR="00A75CE9" w:rsidRDefault="00A75CE9" w:rsidP="00E03367">
      <w:pPr>
        <w:rPr>
          <w:w w:val="115"/>
        </w:rPr>
      </w:pPr>
    </w:p>
    <w:p w:rsidR="002F5BFB" w:rsidRDefault="00BC100F" w:rsidP="002F5BFB">
      <w:pPr>
        <w:rPr>
          <w:w w:val="115"/>
        </w:rPr>
      </w:pPr>
      <w:r>
        <w:rPr>
          <w:w w:val="115"/>
        </w:rPr>
        <w:t xml:space="preserve">The point is that we should not </w:t>
      </w:r>
      <w:r w:rsidR="001B1DF5">
        <w:rPr>
          <w:w w:val="115"/>
        </w:rPr>
        <w:t>presum</w:t>
      </w:r>
      <w:r w:rsidR="002F5BFB">
        <w:rPr>
          <w:w w:val="115"/>
        </w:rPr>
        <w:t xml:space="preserve">e </w:t>
      </w:r>
      <w:r>
        <w:rPr>
          <w:w w:val="115"/>
        </w:rPr>
        <w:t xml:space="preserve">to know the normative values of </w:t>
      </w:r>
      <w:r w:rsidR="00F33008">
        <w:rPr>
          <w:w w:val="115"/>
        </w:rPr>
        <w:t>either political party</w:t>
      </w:r>
      <w:r>
        <w:rPr>
          <w:w w:val="115"/>
        </w:rPr>
        <w:t xml:space="preserve">.  We can merely build a list – </w:t>
      </w:r>
      <w:r w:rsidR="001B1DF5">
        <w:rPr>
          <w:w w:val="115"/>
        </w:rPr>
        <w:t xml:space="preserve">to include </w:t>
      </w:r>
      <w:r>
        <w:rPr>
          <w:w w:val="115"/>
        </w:rPr>
        <w:t xml:space="preserve">perhaps </w:t>
      </w:r>
      <w:r w:rsidR="001B1DF5">
        <w:rPr>
          <w:w w:val="115"/>
        </w:rPr>
        <w:t>a half-</w:t>
      </w:r>
      <w:r>
        <w:rPr>
          <w:w w:val="115"/>
        </w:rPr>
        <w:t>dozen value or so – that we think might serve as a good starting point</w:t>
      </w:r>
      <w:r w:rsidR="005322C9">
        <w:rPr>
          <w:w w:val="115"/>
        </w:rPr>
        <w:t xml:space="preserve">. </w:t>
      </w:r>
      <w:r w:rsidR="001B1DF5">
        <w:rPr>
          <w:w w:val="115"/>
        </w:rPr>
        <w:t xml:space="preserve">If </w:t>
      </w:r>
      <w:r w:rsidR="00A75CE9">
        <w:rPr>
          <w:w w:val="115"/>
        </w:rPr>
        <w:t xml:space="preserve">we </w:t>
      </w:r>
      <w:r w:rsidR="001B1DF5">
        <w:rPr>
          <w:w w:val="115"/>
        </w:rPr>
        <w:t xml:space="preserve">are </w:t>
      </w:r>
      <w:r w:rsidR="000F0557">
        <w:rPr>
          <w:w w:val="115"/>
        </w:rPr>
        <w:t>confident</w:t>
      </w:r>
      <w:r w:rsidR="00802ABF">
        <w:rPr>
          <w:w w:val="115"/>
        </w:rPr>
        <w:t xml:space="preserve"> in the lists of values we build</w:t>
      </w:r>
      <w:r w:rsidR="000F0557">
        <w:rPr>
          <w:w w:val="115"/>
        </w:rPr>
        <w:t xml:space="preserve"> for a given political party, a</w:t>
      </w:r>
      <w:r w:rsidR="00A75CE9">
        <w:rPr>
          <w:w w:val="115"/>
        </w:rPr>
        <w:t xml:space="preserve">ll before the end of the </w:t>
      </w:r>
      <w:r w:rsidR="002A67E3" w:rsidRPr="002A67E3">
        <w:rPr>
          <w:i/>
          <w:w w:val="115"/>
        </w:rPr>
        <w:t>Di</w:t>
      </w:r>
      <w:r w:rsidR="002A67E3">
        <w:rPr>
          <w:i/>
          <w:w w:val="115"/>
        </w:rPr>
        <w:t>s</w:t>
      </w:r>
      <w:r w:rsidR="002A67E3" w:rsidRPr="002A67E3">
        <w:rPr>
          <w:i/>
          <w:w w:val="115"/>
        </w:rPr>
        <w:t>course’</w:t>
      </w:r>
      <w:r w:rsidR="002A67E3">
        <w:rPr>
          <w:w w:val="115"/>
        </w:rPr>
        <w:t>s discussion session</w:t>
      </w:r>
      <w:r w:rsidR="00A75CE9">
        <w:rPr>
          <w:w w:val="115"/>
        </w:rPr>
        <w:t xml:space="preserve">, </w:t>
      </w:r>
      <w:r w:rsidR="001B1DF5">
        <w:rPr>
          <w:w w:val="115"/>
        </w:rPr>
        <w:t xml:space="preserve">we might </w:t>
      </w:r>
      <w:r w:rsidR="00877CF1">
        <w:rPr>
          <w:w w:val="115"/>
        </w:rPr>
        <w:t xml:space="preserve">attempt </w:t>
      </w:r>
      <w:r w:rsidR="00EE707D">
        <w:rPr>
          <w:w w:val="115"/>
        </w:rPr>
        <w:t xml:space="preserve">to </w:t>
      </w:r>
      <w:r w:rsidR="00A75CE9">
        <w:rPr>
          <w:w w:val="115"/>
        </w:rPr>
        <w:t>prioriti</w:t>
      </w:r>
      <w:r w:rsidR="00802ABF">
        <w:rPr>
          <w:w w:val="115"/>
        </w:rPr>
        <w:t xml:space="preserve">ze </w:t>
      </w:r>
      <w:r w:rsidR="00A75CE9">
        <w:rPr>
          <w:w w:val="115"/>
        </w:rPr>
        <w:t>the value</w:t>
      </w:r>
      <w:r w:rsidR="002F5BFB">
        <w:rPr>
          <w:w w:val="115"/>
        </w:rPr>
        <w:t>s.</w:t>
      </w:r>
    </w:p>
    <w:p w:rsidR="002F5BFB" w:rsidRDefault="002F5BFB" w:rsidP="002F5BFB">
      <w:pPr>
        <w:rPr>
          <w:w w:val="115"/>
        </w:rPr>
      </w:pPr>
    </w:p>
    <w:p w:rsidR="00B653DB" w:rsidRDefault="001B1DF5" w:rsidP="007D262B">
      <w:pPr>
        <w:rPr>
          <w:w w:val="115"/>
        </w:rPr>
      </w:pPr>
      <w:r>
        <w:rPr>
          <w:w w:val="115"/>
        </w:rPr>
        <w:t xml:space="preserve">Prioritization necessarily means that we would have to discern </w:t>
      </w:r>
      <w:r w:rsidR="00877CF1">
        <w:rPr>
          <w:w w:val="115"/>
        </w:rPr>
        <w:t xml:space="preserve">the relationships of </w:t>
      </w:r>
      <w:r w:rsidR="002F5BFB">
        <w:rPr>
          <w:w w:val="115"/>
        </w:rPr>
        <w:t>a multitude of values that might apply to either or both political parties</w:t>
      </w:r>
      <w:r>
        <w:rPr>
          <w:w w:val="115"/>
        </w:rPr>
        <w:t>.  W</w:t>
      </w:r>
      <w:r w:rsidR="00877CF1">
        <w:rPr>
          <w:w w:val="115"/>
        </w:rPr>
        <w:t>e would want to consider which values are the “core” values.  We would subsequently determine the values that are supporting values, or values that essentially “define” the higher order</w:t>
      </w:r>
      <w:r>
        <w:rPr>
          <w:w w:val="115"/>
        </w:rPr>
        <w:t>, core</w:t>
      </w:r>
      <w:r w:rsidR="00877CF1">
        <w:rPr>
          <w:w w:val="115"/>
        </w:rPr>
        <w:t xml:space="preserve"> values.  This method </w:t>
      </w:r>
      <w:r w:rsidR="002F5BFB">
        <w:rPr>
          <w:w w:val="115"/>
        </w:rPr>
        <w:t xml:space="preserve">mimics ideas of decision analysis, where we would build </w:t>
      </w:r>
      <w:proofErr w:type="gramStart"/>
      <w:r w:rsidR="002F5BFB">
        <w:rPr>
          <w:w w:val="115"/>
        </w:rPr>
        <w:t>a</w:t>
      </w:r>
      <w:r w:rsidR="00277A68">
        <w:rPr>
          <w:w w:val="115"/>
        </w:rPr>
        <w:t xml:space="preserve"> </w:t>
      </w:r>
      <w:r w:rsidR="002F5BFB">
        <w:rPr>
          <w:w w:val="115"/>
        </w:rPr>
        <w:t>values</w:t>
      </w:r>
      <w:proofErr w:type="gramEnd"/>
      <w:r w:rsidR="002F5BFB">
        <w:rPr>
          <w:w w:val="115"/>
        </w:rPr>
        <w:t xml:space="preserve"> hierarchy </w:t>
      </w:r>
      <w:r w:rsidR="00877CF1">
        <w:rPr>
          <w:w w:val="115"/>
        </w:rPr>
        <w:t>such as that which is depicted below.</w:t>
      </w:r>
    </w:p>
    <w:p w:rsidR="005312FE" w:rsidRDefault="005312FE" w:rsidP="005312FE">
      <w:pPr>
        <w:rPr>
          <w:w w:val="115"/>
        </w:rPr>
      </w:pPr>
    </w:p>
    <w:p w:rsidR="005312FE" w:rsidRDefault="00277A68" w:rsidP="00277A68">
      <w:pPr>
        <w:jc w:val="center"/>
        <w:rPr>
          <w:w w:val="115"/>
        </w:rPr>
      </w:pPr>
      <w:r w:rsidRPr="00277A68">
        <w:rPr>
          <w:w w:val="115"/>
        </w:rPr>
        <w:lastRenderedPageBreak/>
        <w:drawing>
          <wp:inline distT="0" distB="0" distL="0" distR="0">
            <wp:extent cx="5943600" cy="3543935"/>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34235" cy="5029200"/>
                      <a:chOff x="383652" y="76200"/>
                      <a:chExt cx="8434235" cy="5029200"/>
                    </a:xfrm>
                  </a:grpSpPr>
                  <a:grpSp>
                    <a:nvGrpSpPr>
                      <a:cNvPr id="18" name="Group 17"/>
                      <a:cNvGrpSpPr/>
                    </a:nvGrpSpPr>
                    <a:grpSpPr>
                      <a:xfrm>
                        <a:off x="383652" y="76200"/>
                        <a:ext cx="8434235" cy="5029200"/>
                        <a:chOff x="383652" y="76200"/>
                        <a:chExt cx="8434235" cy="5029200"/>
                      </a:xfrm>
                    </a:grpSpPr>
                    <a:sp>
                      <a:nvSpPr>
                        <a:cNvPr id="13" name="TextBox 12"/>
                        <a:cNvSpPr txBox="1"/>
                      </a:nvSpPr>
                      <a:spPr>
                        <a:xfrm>
                          <a:off x="7024255" y="2459185"/>
                          <a:ext cx="1793632"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lgn="ctr"/>
                            <a:r>
                              <a:rPr lang="en-US" sz="1400" dirty="0" smtClean="0">
                                <a:latin typeface="Times New Roman" panose="02020603050405020304" pitchFamily="18" charset="0"/>
                                <a:cs typeface="Times New Roman" panose="02020603050405020304" pitchFamily="18" charset="0"/>
                              </a:rPr>
                              <a:t>Less Abstract,</a:t>
                            </a:r>
                          </a:p>
                          <a:p>
                            <a:pPr algn="ctr"/>
                            <a:r>
                              <a:rPr lang="en-US" sz="1400" dirty="0" smtClean="0">
                                <a:latin typeface="Times New Roman" panose="02020603050405020304" pitchFamily="18" charset="0"/>
                                <a:cs typeface="Times New Roman" panose="02020603050405020304" pitchFamily="18" charset="0"/>
                              </a:rPr>
                              <a:t>More “Goal-Like”</a:t>
                            </a:r>
                            <a:endParaRPr lang="en-US" sz="1400" dirty="0">
                              <a:latin typeface="Times New Roman" panose="02020603050405020304" pitchFamily="18" charset="0"/>
                              <a:cs typeface="Times New Roman" panose="02020603050405020304" pitchFamily="18" charset="0"/>
                            </a:endParaRPr>
                          </a:p>
                        </a:txBody>
                        <a:useSpRect/>
                      </a:txSp>
                    </a:sp>
                    <a:pic>
                      <a:nvPicPr>
                        <a:cNvPr id="5" name="Picture 4"/>
                        <a:cNvPicPr>
                          <a:picLocks noChangeAspect="1"/>
                        </a:cNvPicPr>
                      </a:nvPicPr>
                      <a:blipFill>
                        <a:blip r:embed="rId8" cstate="print">
                          <a:extLst>
                            <a:ext uri="{28A0092B-C50C-407E-A947-70E740481C1C}">
                              <a14:useLocalDpi xmlns:p="http://schemas.openxmlformats.org/presentationml/2006/main" xmlns:a14="http://schemas.microsoft.com/office/drawing/2010/main" xmlns="" val="0"/>
                            </a:ext>
                          </a:extLst>
                        </a:blip>
                        <a:stretch>
                          <a:fillRect/>
                        </a:stretch>
                      </a:blipFill>
                      <a:spPr>
                        <a:xfrm>
                          <a:off x="383652" y="838200"/>
                          <a:ext cx="6626748" cy="4267200"/>
                        </a:xfrm>
                        <a:prstGeom prst="rect">
                          <a:avLst/>
                        </a:prstGeom>
                      </a:spPr>
                    </a:pic>
                    <a:sp>
                      <a:nvSpPr>
                        <a:cNvPr id="6" name="TextBox 5"/>
                        <a:cNvSpPr txBox="1"/>
                      </a:nvSpPr>
                      <a:spPr>
                        <a:xfrm>
                          <a:off x="7190510" y="1216223"/>
                          <a:ext cx="1447800" cy="30480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lgn="ctr"/>
                            <a:r>
                              <a:rPr lang="en-US" sz="1400" dirty="0" smtClean="0">
                                <a:latin typeface="Times New Roman" panose="02020603050405020304" pitchFamily="18" charset="0"/>
                                <a:cs typeface="Times New Roman" panose="02020603050405020304" pitchFamily="18" charset="0"/>
                              </a:rPr>
                              <a:t>Most Abstract</a:t>
                            </a:r>
                            <a:endParaRPr lang="en-US" sz="1400" dirty="0">
                              <a:latin typeface="Times New Roman" panose="02020603050405020304" pitchFamily="18" charset="0"/>
                              <a:cs typeface="Times New Roman" panose="02020603050405020304" pitchFamily="18" charset="0"/>
                            </a:endParaRPr>
                          </a:p>
                        </a:txBody>
                        <a:useSpRect/>
                      </a:txSp>
                    </a:sp>
                    <a:sp>
                      <a:nvSpPr>
                        <a:cNvPr id="7" name="TextBox 6"/>
                        <a:cNvSpPr txBox="1"/>
                      </a:nvSpPr>
                      <a:spPr>
                        <a:xfrm>
                          <a:off x="7239000" y="4114800"/>
                          <a:ext cx="1371600" cy="30777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lgn="ctr"/>
                            <a:r>
                              <a:rPr lang="en-US" sz="1400" dirty="0" smtClean="0">
                                <a:latin typeface="Times New Roman" panose="02020603050405020304" pitchFamily="18" charset="0"/>
                                <a:cs typeface="Times New Roman" panose="02020603050405020304" pitchFamily="18" charset="0"/>
                              </a:rPr>
                              <a:t>Actionable</a:t>
                            </a:r>
                            <a:endParaRPr lang="en-US" sz="1400" dirty="0">
                              <a:latin typeface="Times New Roman" panose="02020603050405020304" pitchFamily="18" charset="0"/>
                              <a:cs typeface="Times New Roman" panose="02020603050405020304" pitchFamily="18" charset="0"/>
                            </a:endParaRPr>
                          </a:p>
                        </a:txBody>
                        <a:useSpRect/>
                      </a:txSp>
                    </a:sp>
                    <a:cxnSp>
                      <a:nvCxnSpPr>
                        <a:cNvPr id="9" name="Straight Arrow Connector 8"/>
                        <a:cNvCxnSpPr/>
                      </a:nvCxnSpPr>
                      <a:spPr>
                        <a:xfrm>
                          <a:off x="7924800" y="1673423"/>
                          <a:ext cx="0" cy="731520"/>
                        </a:xfrm>
                        <a:prstGeom prst="straightConnector1">
                          <a:avLst/>
                        </a:prstGeom>
                        <a:ln w="762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nvCxnSpPr>
                      <a:spPr>
                        <a:xfrm>
                          <a:off x="7924800" y="3154680"/>
                          <a:ext cx="0" cy="731520"/>
                        </a:xfrm>
                        <a:prstGeom prst="straightConnector1">
                          <a:avLst/>
                        </a:prstGeom>
                        <a:ln w="7620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5" name="TextBox 14"/>
                        <a:cNvSpPr txBox="1"/>
                      </a:nvSpPr>
                      <a:spPr>
                        <a:xfrm>
                          <a:off x="2590800" y="76200"/>
                          <a:ext cx="3886200" cy="40011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Verdana" pitchFamily="34" charset="0"/>
                                <a:ea typeface="+mn-ea"/>
                                <a:cs typeface="Arial" charset="0"/>
                              </a:defRPr>
                            </a:lvl1pPr>
                            <a:lvl2pPr marL="457200" algn="l" rtl="0" fontAlgn="base">
                              <a:spcBef>
                                <a:spcPct val="0"/>
                              </a:spcBef>
                              <a:spcAft>
                                <a:spcPct val="0"/>
                              </a:spcAft>
                              <a:defRPr kern="1200">
                                <a:solidFill>
                                  <a:schemeClr val="tx1"/>
                                </a:solidFill>
                                <a:latin typeface="Verdana" pitchFamily="34" charset="0"/>
                                <a:ea typeface="+mn-ea"/>
                                <a:cs typeface="Arial" charset="0"/>
                              </a:defRPr>
                            </a:lvl2pPr>
                            <a:lvl3pPr marL="914400" algn="l" rtl="0" fontAlgn="base">
                              <a:spcBef>
                                <a:spcPct val="0"/>
                              </a:spcBef>
                              <a:spcAft>
                                <a:spcPct val="0"/>
                              </a:spcAft>
                              <a:defRPr kern="1200">
                                <a:solidFill>
                                  <a:schemeClr val="tx1"/>
                                </a:solidFill>
                                <a:latin typeface="Verdana" pitchFamily="34" charset="0"/>
                                <a:ea typeface="+mn-ea"/>
                                <a:cs typeface="Arial" charset="0"/>
                              </a:defRPr>
                            </a:lvl3pPr>
                            <a:lvl4pPr marL="1371600" algn="l" rtl="0" fontAlgn="base">
                              <a:spcBef>
                                <a:spcPct val="0"/>
                              </a:spcBef>
                              <a:spcAft>
                                <a:spcPct val="0"/>
                              </a:spcAft>
                              <a:defRPr kern="1200">
                                <a:solidFill>
                                  <a:schemeClr val="tx1"/>
                                </a:solidFill>
                                <a:latin typeface="Verdana" pitchFamily="34" charset="0"/>
                                <a:ea typeface="+mn-ea"/>
                                <a:cs typeface="Arial" charset="0"/>
                              </a:defRPr>
                            </a:lvl4pPr>
                            <a:lvl5pPr marL="1828800" algn="l" rtl="0" fontAlgn="base">
                              <a:spcBef>
                                <a:spcPct val="0"/>
                              </a:spcBef>
                              <a:spcAft>
                                <a:spcPct val="0"/>
                              </a:spcAft>
                              <a:defRPr kern="1200">
                                <a:solidFill>
                                  <a:schemeClr val="tx1"/>
                                </a:solidFill>
                                <a:latin typeface="Verdana" pitchFamily="34" charset="0"/>
                                <a:ea typeface="+mn-ea"/>
                                <a:cs typeface="Arial" charset="0"/>
                              </a:defRPr>
                            </a:lvl5pPr>
                            <a:lvl6pPr marL="2286000" algn="l" defTabSz="914400" rtl="0" eaLnBrk="1" latinLnBrk="0" hangingPunct="1">
                              <a:defRPr kern="1200">
                                <a:solidFill>
                                  <a:schemeClr val="tx1"/>
                                </a:solidFill>
                                <a:latin typeface="Verdana" pitchFamily="34" charset="0"/>
                                <a:ea typeface="+mn-ea"/>
                                <a:cs typeface="Arial" charset="0"/>
                              </a:defRPr>
                            </a:lvl6pPr>
                            <a:lvl7pPr marL="2743200" algn="l" defTabSz="914400" rtl="0" eaLnBrk="1" latinLnBrk="0" hangingPunct="1">
                              <a:defRPr kern="1200">
                                <a:solidFill>
                                  <a:schemeClr val="tx1"/>
                                </a:solidFill>
                                <a:latin typeface="Verdana" pitchFamily="34" charset="0"/>
                                <a:ea typeface="+mn-ea"/>
                                <a:cs typeface="Arial" charset="0"/>
                              </a:defRPr>
                            </a:lvl7pPr>
                            <a:lvl8pPr marL="3200400" algn="l" defTabSz="914400" rtl="0" eaLnBrk="1" latinLnBrk="0" hangingPunct="1">
                              <a:defRPr kern="1200">
                                <a:solidFill>
                                  <a:schemeClr val="tx1"/>
                                </a:solidFill>
                                <a:latin typeface="Verdana" pitchFamily="34" charset="0"/>
                                <a:ea typeface="+mn-ea"/>
                                <a:cs typeface="Arial" charset="0"/>
                              </a:defRPr>
                            </a:lvl8pPr>
                            <a:lvl9pPr marL="3657600" algn="l" defTabSz="914400" rtl="0" eaLnBrk="1" latinLnBrk="0" hangingPunct="1">
                              <a:defRPr kern="1200">
                                <a:solidFill>
                                  <a:schemeClr val="tx1"/>
                                </a:solidFill>
                                <a:latin typeface="Verdana" pitchFamily="34" charset="0"/>
                                <a:ea typeface="+mn-ea"/>
                                <a:cs typeface="Arial" charset="0"/>
                              </a:defRPr>
                            </a:lvl9pPr>
                          </a:lstStyle>
                          <a:p>
                            <a:pPr algn="ctr"/>
                            <a:r>
                              <a:rPr lang="en-US" sz="2000" dirty="0" smtClean="0">
                                <a:latin typeface="Times New Roman" pitchFamily="18" charset="0"/>
                                <a:cs typeface="Times New Roman" pitchFamily="18" charset="0"/>
                              </a:rPr>
                              <a:t>A Values Tree Construct</a:t>
                            </a:r>
                            <a:endParaRPr lang="en-US" sz="2000" dirty="0">
                              <a:latin typeface="Times New Roman" pitchFamily="18" charset="0"/>
                              <a:cs typeface="Times New Roman" pitchFamily="18" charset="0"/>
                            </a:endParaRPr>
                          </a:p>
                        </a:txBody>
                        <a:useSpRect/>
                      </a:txSp>
                    </a:sp>
                  </a:grpSp>
                </lc:lockedCanvas>
              </a:graphicData>
            </a:graphic>
          </wp:inline>
        </w:drawing>
      </w:r>
    </w:p>
    <w:p w:rsidR="005312FE" w:rsidRDefault="005312FE" w:rsidP="005312FE">
      <w:pPr>
        <w:rPr>
          <w:w w:val="115"/>
        </w:rPr>
      </w:pPr>
    </w:p>
    <w:p w:rsidR="005312FE" w:rsidRPr="005312FE" w:rsidRDefault="00277A68" w:rsidP="005312FE">
      <w:pPr>
        <w:rPr>
          <w:w w:val="115"/>
        </w:rPr>
      </w:pPr>
      <w:r>
        <w:rPr>
          <w:w w:val="115"/>
        </w:rPr>
        <w:t>Notes re: T</w:t>
      </w:r>
      <w:r w:rsidR="005312FE" w:rsidRPr="005312FE">
        <w:rPr>
          <w:w w:val="115"/>
        </w:rPr>
        <w:t>he Values Tree:</w:t>
      </w:r>
    </w:p>
    <w:p w:rsidR="00277A68" w:rsidRDefault="00277A68" w:rsidP="00277A68">
      <w:pPr>
        <w:pStyle w:val="ListParagraph"/>
        <w:numPr>
          <w:ilvl w:val="0"/>
          <w:numId w:val="13"/>
        </w:numPr>
        <w:rPr>
          <w:w w:val="115"/>
        </w:rPr>
      </w:pPr>
      <w:r>
        <w:rPr>
          <w:w w:val="115"/>
        </w:rPr>
        <w:t xml:space="preserve">The highest level of the tree is the most abstract, the </w:t>
      </w:r>
      <w:proofErr w:type="gramStart"/>
      <w:r>
        <w:rPr>
          <w:w w:val="115"/>
        </w:rPr>
        <w:t>most vague</w:t>
      </w:r>
      <w:proofErr w:type="gramEnd"/>
      <w:r>
        <w:rPr>
          <w:w w:val="115"/>
        </w:rPr>
        <w:t>.  In the political context, that highest value could be, for example, “Democratic Representation”</w:t>
      </w:r>
      <w:r w:rsidR="001B1DF5">
        <w:rPr>
          <w:w w:val="115"/>
        </w:rPr>
        <w:t xml:space="preserve"> or “The People’s Concerns” or some other value that reflects the very purpose for a political entity’s existence.</w:t>
      </w:r>
    </w:p>
    <w:p w:rsidR="00277A68" w:rsidRDefault="00277A68" w:rsidP="005312FE">
      <w:pPr>
        <w:pStyle w:val="ListParagraph"/>
        <w:numPr>
          <w:ilvl w:val="0"/>
          <w:numId w:val="13"/>
        </w:numPr>
        <w:rPr>
          <w:w w:val="115"/>
        </w:rPr>
      </w:pPr>
      <w:r w:rsidRPr="00277A68">
        <w:rPr>
          <w:w w:val="115"/>
        </w:rPr>
        <w:t xml:space="preserve">The second </w:t>
      </w:r>
      <w:proofErr w:type="gramStart"/>
      <w:r w:rsidRPr="00277A68">
        <w:rPr>
          <w:w w:val="115"/>
        </w:rPr>
        <w:t>level,</w:t>
      </w:r>
      <w:proofErr w:type="gramEnd"/>
      <w:r w:rsidRPr="00277A68">
        <w:rPr>
          <w:w w:val="115"/>
        </w:rPr>
        <w:t xml:space="preserve"> represents slightly less abstract values, but ones that might need more definition – before they could reasonably be thought to be </w:t>
      </w:r>
      <w:proofErr w:type="spellStart"/>
      <w:r w:rsidRPr="00277A68">
        <w:rPr>
          <w:w w:val="115"/>
        </w:rPr>
        <w:t>operationalized</w:t>
      </w:r>
      <w:proofErr w:type="spellEnd"/>
      <w:r w:rsidRPr="00277A68">
        <w:rPr>
          <w:w w:val="115"/>
        </w:rPr>
        <w:t xml:space="preserve"> by policies or programs.  These values might be thought of as the “core values”</w:t>
      </w:r>
      <w:r w:rsidR="001B1DF5">
        <w:rPr>
          <w:w w:val="115"/>
        </w:rPr>
        <w:t xml:space="preserve"> – the highest level of values that start to provide meaning to the absolute highest level singular value.</w:t>
      </w:r>
    </w:p>
    <w:p w:rsidR="00CE6860" w:rsidRDefault="00CE6860" w:rsidP="005312FE">
      <w:pPr>
        <w:pStyle w:val="ListParagraph"/>
        <w:numPr>
          <w:ilvl w:val="0"/>
          <w:numId w:val="13"/>
        </w:numPr>
        <w:rPr>
          <w:w w:val="115"/>
        </w:rPr>
      </w:pPr>
      <w:r>
        <w:t xml:space="preserve">The level below the core values are the values that provide </w:t>
      </w:r>
      <w:r w:rsidR="001B1DF5">
        <w:t xml:space="preserve">definition to </w:t>
      </w:r>
      <w:r>
        <w:t xml:space="preserve">the core values.  If, for example, one of the core values for a political party were “health,” there would likely be a need to define what “health” means by articulating the defining values.  Several types of health </w:t>
      </w:r>
      <w:r w:rsidR="001B1DF5">
        <w:t xml:space="preserve">might </w:t>
      </w:r>
      <w:r>
        <w:t xml:space="preserve">identify “health” – all of which could reasonably be thought of as values: </w:t>
      </w:r>
      <w:r w:rsidR="001B1DF5">
        <w:t>“</w:t>
      </w:r>
      <w:r>
        <w:t>physical health,</w:t>
      </w:r>
      <w:r w:rsidR="001B1DF5">
        <w:t>”</w:t>
      </w:r>
      <w:r>
        <w:t xml:space="preserve"> </w:t>
      </w:r>
      <w:r w:rsidR="001B1DF5">
        <w:t>“</w:t>
      </w:r>
      <w:r>
        <w:t>mental health</w:t>
      </w:r>
      <w:r w:rsidR="001B1DF5">
        <w:t>,”</w:t>
      </w:r>
      <w:r>
        <w:t xml:space="preserve"> </w:t>
      </w:r>
      <w:r w:rsidR="001B1DF5">
        <w:t>“</w:t>
      </w:r>
      <w:r>
        <w:t>financial health</w:t>
      </w:r>
      <w:r w:rsidR="001B1DF5">
        <w:t>,”</w:t>
      </w:r>
      <w:r>
        <w:t xml:space="preserve"> </w:t>
      </w:r>
      <w:r w:rsidR="001B1DF5">
        <w:t xml:space="preserve">“political health,” </w:t>
      </w:r>
      <w:r>
        <w:t>etc.</w:t>
      </w:r>
    </w:p>
    <w:p w:rsidR="005312FE" w:rsidRPr="00EA5299" w:rsidRDefault="005312FE" w:rsidP="005312FE">
      <w:pPr>
        <w:pStyle w:val="ListParagraph"/>
        <w:numPr>
          <w:ilvl w:val="0"/>
          <w:numId w:val="13"/>
        </w:numPr>
        <w:rPr>
          <w:w w:val="115"/>
        </w:rPr>
      </w:pPr>
      <w:r w:rsidRPr="00EA5299">
        <w:rPr>
          <w:w w:val="115"/>
        </w:rPr>
        <w:t>“</w:t>
      </w:r>
      <w:proofErr w:type="spellStart"/>
      <w:r w:rsidRPr="00EA5299">
        <w:rPr>
          <w:w w:val="115"/>
        </w:rPr>
        <w:t>Operationalizing</w:t>
      </w:r>
      <w:proofErr w:type="spellEnd"/>
      <w:r w:rsidRPr="00EA5299">
        <w:rPr>
          <w:w w:val="115"/>
        </w:rPr>
        <w:t xml:space="preserve"> Actions” are activities executable in the workplace through practiced processes, policies, regulations, statutes, procedures, etc.</w:t>
      </w:r>
      <w:r w:rsidR="00EA5299" w:rsidRPr="00EA5299">
        <w:rPr>
          <w:w w:val="115"/>
        </w:rPr>
        <w:t xml:space="preserve">  </w:t>
      </w:r>
      <w:proofErr w:type="spellStart"/>
      <w:r w:rsidR="00EA5299" w:rsidRPr="00EA5299">
        <w:rPr>
          <w:w w:val="115"/>
        </w:rPr>
        <w:t>Operationalizing</w:t>
      </w:r>
      <w:proofErr w:type="spellEnd"/>
      <w:r w:rsidR="00EA5299" w:rsidRPr="00EA5299">
        <w:rPr>
          <w:w w:val="115"/>
        </w:rPr>
        <w:t xml:space="preserve"> Actions might include tax reform or healthcare reform proposals that a party or an administration believes will enhance financial health and physical health.  </w:t>
      </w:r>
      <w:r w:rsidR="00277A68" w:rsidRPr="00EA5299">
        <w:rPr>
          <w:w w:val="115"/>
        </w:rPr>
        <w:t>Ea</w:t>
      </w:r>
      <w:r w:rsidRPr="00EA5299">
        <w:rPr>
          <w:w w:val="115"/>
        </w:rPr>
        <w:t xml:space="preserve">ch “lowest level value” in a </w:t>
      </w:r>
      <w:r w:rsidR="00EA5299" w:rsidRPr="00EA5299">
        <w:rPr>
          <w:w w:val="115"/>
        </w:rPr>
        <w:t xml:space="preserve">values </w:t>
      </w:r>
      <w:r w:rsidRPr="00EA5299">
        <w:rPr>
          <w:w w:val="115"/>
        </w:rPr>
        <w:t>string is achievable by one or more “</w:t>
      </w:r>
      <w:proofErr w:type="spellStart"/>
      <w:r w:rsidRPr="00EA5299">
        <w:rPr>
          <w:w w:val="115"/>
        </w:rPr>
        <w:t>operationalizing</w:t>
      </w:r>
      <w:proofErr w:type="spellEnd"/>
      <w:r w:rsidRPr="00EA5299">
        <w:rPr>
          <w:w w:val="115"/>
        </w:rPr>
        <w:t xml:space="preserve"> actions.”</w:t>
      </w:r>
      <w:r w:rsidR="00277A68" w:rsidRPr="00EA5299">
        <w:rPr>
          <w:w w:val="115"/>
        </w:rPr>
        <w:t xml:space="preserve">  </w:t>
      </w:r>
      <w:r w:rsidRPr="00EA5299">
        <w:rPr>
          <w:w w:val="115"/>
        </w:rPr>
        <w:t>Each “</w:t>
      </w:r>
      <w:proofErr w:type="spellStart"/>
      <w:r w:rsidRPr="00EA5299">
        <w:rPr>
          <w:w w:val="115"/>
        </w:rPr>
        <w:t>operationalizing</w:t>
      </w:r>
      <w:proofErr w:type="spellEnd"/>
      <w:r w:rsidRPr="00EA5299">
        <w:rPr>
          <w:w w:val="115"/>
        </w:rPr>
        <w:t xml:space="preserve"> action” contributes to realizing at least one intermediate level value and thus, the ultimate value</w:t>
      </w:r>
      <w:r w:rsidR="00EA5299" w:rsidRPr="00EA5299">
        <w:rPr>
          <w:w w:val="115"/>
        </w:rPr>
        <w:t xml:space="preserve"> at the very top of the hierarchy.</w:t>
      </w:r>
    </w:p>
    <w:p w:rsidR="005312FE" w:rsidRPr="007D262B" w:rsidRDefault="005312FE" w:rsidP="005312FE">
      <w:pPr>
        <w:rPr>
          <w:w w:val="115"/>
        </w:rPr>
      </w:pPr>
    </w:p>
    <w:sectPr w:rsidR="005312FE" w:rsidRPr="007D262B" w:rsidSect="00C001E5">
      <w:headerReference w:type="default" r:id="rId9"/>
      <w:footerReference w:type="default" r:id="rId10"/>
      <w:headerReference w:type="first" r:id="rId11"/>
      <w:footerReference w:type="first" r:id="rId12"/>
      <w:pgSz w:w="12240" w:h="15840"/>
      <w:pgMar w:top="1380" w:right="1380" w:bottom="280" w:left="1320" w:header="14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E0" w:rsidRDefault="00F117E0" w:rsidP="00E03367">
      <w:r>
        <w:separator/>
      </w:r>
    </w:p>
  </w:endnote>
  <w:endnote w:type="continuationSeparator" w:id="0">
    <w:p w:rsidR="00F117E0" w:rsidRDefault="00F117E0" w:rsidP="00E03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60" w:rsidRPr="00E03367" w:rsidRDefault="0004523D" w:rsidP="00C001E5">
    <w:pPr>
      <w:pStyle w:val="Footer"/>
      <w:spacing w:before="240"/>
      <w:rPr>
        <w:sz w:val="20"/>
        <w:szCs w:val="20"/>
      </w:rPr>
    </w:pPr>
    <w:r w:rsidRPr="00E03367">
      <w:rPr>
        <w:sz w:val="20"/>
        <w:szCs w:val="20"/>
      </w:rPr>
      <w:t>© 201</w:t>
    </w:r>
    <w:r w:rsidR="00225A3C">
      <w:rPr>
        <w:sz w:val="20"/>
        <w:szCs w:val="20"/>
      </w:rPr>
      <w:t>7</w:t>
    </w:r>
    <w:r w:rsidRPr="00E03367">
      <w:rPr>
        <w:sz w:val="20"/>
        <w:szCs w:val="20"/>
      </w:rPr>
      <w:t xml:space="preserve"> Matthew S.A. Feely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5" w:rsidRPr="00883E5B" w:rsidRDefault="00A75CE9" w:rsidP="00883E5B">
    <w:pPr>
      <w:pStyle w:val="Footer"/>
      <w:spacing w:before="240"/>
      <w:rPr>
        <w:sz w:val="20"/>
        <w:szCs w:val="20"/>
      </w:rPr>
    </w:pPr>
    <w:r>
      <w:rPr>
        <w:sz w:val="20"/>
        <w:szCs w:val="20"/>
      </w:rPr>
      <w:t>© 2017</w:t>
    </w:r>
    <w:r w:rsidR="00C001E5" w:rsidRPr="00E03367">
      <w:rPr>
        <w:sz w:val="20"/>
        <w:szCs w:val="20"/>
      </w:rPr>
      <w:t xml:space="preserve"> Matthew S.A. Feely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E0" w:rsidRDefault="00F117E0" w:rsidP="00E03367">
      <w:r>
        <w:separator/>
      </w:r>
    </w:p>
  </w:footnote>
  <w:footnote w:type="continuationSeparator" w:id="0">
    <w:p w:rsidR="00F117E0" w:rsidRDefault="00F117E0" w:rsidP="00E03367">
      <w:r>
        <w:continuationSeparator/>
      </w:r>
    </w:p>
  </w:footnote>
  <w:footnote w:id="1">
    <w:p w:rsidR="00D66E93" w:rsidRDefault="00D66E93">
      <w:pPr>
        <w:pStyle w:val="FootnoteText"/>
      </w:pPr>
      <w:r>
        <w:rPr>
          <w:rStyle w:val="FootnoteReference"/>
        </w:rPr>
        <w:footnoteRef/>
      </w:r>
      <w:r>
        <w:t xml:space="preserve"> Here, the term benevolence means “aligned values,” i.e. when the values of one entity are similar or the same as the values of another.  Benevolence in this context does not denote a proclivity towards acts of kindness.  The author does recognize that acts of kindness, implied by the typical interpretation of the word “benevolence,” however, are generally reflective of aligned values.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A1" w:rsidRPr="00E03367" w:rsidRDefault="009A63EC" w:rsidP="00C825CC">
    <w:pPr>
      <w:pStyle w:val="Header"/>
      <w:spacing w:before="120"/>
      <w:jc w:val="right"/>
      <w:rPr>
        <w:sz w:val="20"/>
        <w:szCs w:val="20"/>
      </w:rPr>
    </w:pPr>
    <w:sdt>
      <w:sdtPr>
        <w:rPr>
          <w:sz w:val="20"/>
          <w:szCs w:val="20"/>
        </w:rPr>
        <w:id w:val="-1604092930"/>
        <w:docPartObj>
          <w:docPartGallery w:val="Page Numbers (Margins)"/>
          <w:docPartUnique/>
        </w:docPartObj>
      </w:sdtPr>
      <w:sdtContent>
        <w:r>
          <w:rPr>
            <w:noProof/>
            <w:sz w:val="20"/>
            <w:szCs w:val="20"/>
            <w:lang w:eastAsia="zh-TW"/>
          </w:rPr>
          <w:pict>
            <v:rect id="_x0000_s11267" style="position:absolute;left:0;text-align:left;margin-left:0;margin-top:0;width:40.9pt;height:171.9pt;z-index:251662336;mso-position-horizontal:center;mso-position-horizontal-relative:left-margin-area;mso-position-vertical:bottom;mso-position-vertical-relative:margin;v-text-anchor:middle" o:allowincell="f" filled="f" stroked="f">
              <v:textbox style="layout-flow:vertical;mso-layout-flow-alt:bottom-to-top;mso-next-textbox:#_x0000_s11267;mso-fit-shape-to-text:t">
                <w:txbxContent>
                  <w:p w:rsidR="00C825CC" w:rsidRDefault="00C825CC">
                    <w:pPr>
                      <w:pStyle w:val="Footer"/>
                      <w:rPr>
                        <w:rFonts w:asciiTheme="majorHAnsi" w:hAnsiTheme="majorHAnsi"/>
                        <w:sz w:val="44"/>
                        <w:szCs w:val="44"/>
                      </w:rPr>
                    </w:pPr>
                    <w:r>
                      <w:rPr>
                        <w:rFonts w:asciiTheme="majorHAnsi" w:hAnsiTheme="majorHAnsi"/>
                      </w:rPr>
                      <w:t>Page</w:t>
                    </w:r>
                    <w:fldSimple w:instr=" PAGE    \* MERGEFORMAT ">
                      <w:r w:rsidR="00EA5299" w:rsidRPr="00EA5299">
                        <w:rPr>
                          <w:rFonts w:asciiTheme="majorHAnsi" w:hAnsiTheme="majorHAnsi"/>
                          <w:noProof/>
                          <w:sz w:val="44"/>
                          <w:szCs w:val="44"/>
                        </w:rPr>
                        <w:t>2</w:t>
                      </w:r>
                    </w:fldSimple>
                  </w:p>
                </w:txbxContent>
              </v:textbox>
              <w10:wrap anchorx="margin" anchory="margin"/>
            </v:rect>
          </w:pict>
        </w:r>
      </w:sdtContent>
    </w:sdt>
    <w:r w:rsidR="00505E60" w:rsidRPr="00E03367">
      <w:rPr>
        <w:sz w:val="20"/>
        <w:szCs w:val="20"/>
      </w:rPr>
      <w:t>Matthew S.A. Feely, Ph.D.</w:t>
    </w:r>
  </w:p>
  <w:p w:rsidR="00505E60" w:rsidRPr="00E03367" w:rsidRDefault="00505E60" w:rsidP="00E03367">
    <w:pPr>
      <w:pStyle w:val="Header"/>
      <w:jc w:val="right"/>
      <w:rPr>
        <w:sz w:val="20"/>
        <w:szCs w:val="20"/>
      </w:rPr>
    </w:pPr>
    <w:r w:rsidRPr="00E03367">
      <w:rPr>
        <w:sz w:val="20"/>
        <w:szCs w:val="20"/>
      </w:rPr>
      <w:t>Captain, USN (RET)</w:t>
    </w:r>
  </w:p>
  <w:p w:rsidR="00D044A1" w:rsidRPr="00C001E5" w:rsidRDefault="002A67E3" w:rsidP="002A67E3">
    <w:pPr>
      <w:pStyle w:val="Header"/>
      <w:jc w:val="right"/>
      <w:rPr>
        <w:b/>
      </w:rPr>
    </w:pPr>
    <w:r>
      <w:rPr>
        <w:sz w:val="20"/>
        <w:szCs w:val="20"/>
      </w:rPr>
      <w:t>Alexandria, VA Discourse, March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5" w:rsidRPr="00E03367" w:rsidRDefault="009A63EC" w:rsidP="00C825CC">
    <w:pPr>
      <w:pStyle w:val="Header"/>
      <w:spacing w:before="120"/>
      <w:jc w:val="right"/>
      <w:rPr>
        <w:sz w:val="20"/>
        <w:szCs w:val="20"/>
      </w:rPr>
    </w:pPr>
    <w:sdt>
      <w:sdtPr>
        <w:rPr>
          <w:sz w:val="20"/>
          <w:szCs w:val="20"/>
        </w:rPr>
        <w:id w:val="-1604092931"/>
        <w:docPartObj>
          <w:docPartGallery w:val="Page Numbers (Margins)"/>
          <w:docPartUnique/>
        </w:docPartObj>
      </w:sdtPr>
      <w:sdtContent>
        <w:r>
          <w:rPr>
            <w:noProof/>
            <w:sz w:val="20"/>
            <w:szCs w:val="20"/>
            <w:lang w:eastAsia="zh-TW"/>
          </w:rPr>
          <w:pict>
            <v:rect id="_x0000_s11266" style="position:absolute;left:0;text-align:left;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11266;mso-fit-shape-to-text:t">
                <w:txbxContent>
                  <w:p w:rsidR="00C825CC" w:rsidRDefault="00C825CC">
                    <w:pPr>
                      <w:pStyle w:val="Footer"/>
                      <w:rPr>
                        <w:rFonts w:asciiTheme="majorHAnsi" w:hAnsiTheme="majorHAnsi"/>
                        <w:sz w:val="44"/>
                        <w:szCs w:val="44"/>
                      </w:rPr>
                    </w:pPr>
                    <w:r>
                      <w:rPr>
                        <w:rFonts w:asciiTheme="majorHAnsi" w:hAnsiTheme="majorHAnsi"/>
                      </w:rPr>
                      <w:t>Page</w:t>
                    </w:r>
                    <w:fldSimple w:instr=" PAGE    \* MERGEFORMAT ">
                      <w:r w:rsidR="00EA5299" w:rsidRPr="00EA5299">
                        <w:rPr>
                          <w:rFonts w:asciiTheme="majorHAnsi" w:hAnsiTheme="majorHAnsi"/>
                          <w:noProof/>
                          <w:sz w:val="44"/>
                          <w:szCs w:val="44"/>
                        </w:rPr>
                        <w:t>1</w:t>
                      </w:r>
                    </w:fldSimple>
                  </w:p>
                </w:txbxContent>
              </v:textbox>
              <w10:wrap anchorx="margin" anchory="margin"/>
            </v:rect>
          </w:pict>
        </w:r>
      </w:sdtContent>
    </w:sdt>
    <w:r w:rsidR="00C001E5" w:rsidRPr="00E03367">
      <w:rPr>
        <w:sz w:val="20"/>
        <w:szCs w:val="20"/>
      </w:rPr>
      <w:t>Matthew S.A. Feely, Ph.D.</w:t>
    </w:r>
  </w:p>
  <w:p w:rsidR="00C001E5" w:rsidRDefault="00C001E5" w:rsidP="00C001E5">
    <w:pPr>
      <w:pStyle w:val="Header"/>
      <w:jc w:val="right"/>
      <w:rPr>
        <w:sz w:val="20"/>
        <w:szCs w:val="20"/>
      </w:rPr>
    </w:pPr>
    <w:r w:rsidRPr="00E03367">
      <w:rPr>
        <w:sz w:val="20"/>
        <w:szCs w:val="20"/>
      </w:rPr>
      <w:t>Captain, USN (RET)</w:t>
    </w:r>
  </w:p>
  <w:p w:rsidR="00AE0E39" w:rsidRPr="00E03367" w:rsidRDefault="000B4976" w:rsidP="00C001E5">
    <w:pPr>
      <w:pStyle w:val="Header"/>
      <w:jc w:val="right"/>
      <w:rPr>
        <w:sz w:val="20"/>
        <w:szCs w:val="20"/>
      </w:rPr>
    </w:pPr>
    <w:r>
      <w:rPr>
        <w:sz w:val="20"/>
        <w:szCs w:val="20"/>
      </w:rPr>
      <w:t xml:space="preserve">Alexandria, VA </w:t>
    </w:r>
    <w:r w:rsidR="00F33008">
      <w:rPr>
        <w:sz w:val="20"/>
        <w:szCs w:val="20"/>
      </w:rPr>
      <w:t>Discourse</w:t>
    </w:r>
    <w:r w:rsidR="00AE0E39">
      <w:rPr>
        <w:sz w:val="20"/>
        <w:szCs w:val="20"/>
      </w:rPr>
      <w:t>, March 2017</w:t>
    </w:r>
  </w:p>
  <w:p w:rsidR="00C001E5" w:rsidRDefault="00C001E5" w:rsidP="00C001E5">
    <w:pPr>
      <w:pStyle w:val="Header"/>
    </w:pPr>
  </w:p>
  <w:p w:rsidR="00C001E5" w:rsidRPr="009C2B4C" w:rsidRDefault="00C001E5" w:rsidP="00C001E5">
    <w:pPr>
      <w:pStyle w:val="Header"/>
      <w:jc w:val="center"/>
      <w:rPr>
        <w:b/>
        <w:sz w:val="28"/>
        <w:szCs w:val="28"/>
      </w:rPr>
    </w:pPr>
    <w:r w:rsidRPr="009C2B4C">
      <w:rPr>
        <w:b/>
        <w:sz w:val="28"/>
        <w:szCs w:val="28"/>
      </w:rPr>
      <w:t xml:space="preserve">What </w:t>
    </w:r>
    <w:r w:rsidR="00D47842" w:rsidRPr="009C2B4C">
      <w:rPr>
        <w:b/>
        <w:sz w:val="28"/>
        <w:szCs w:val="28"/>
      </w:rPr>
      <w:t>Ought to be the Values of the Democratic Party?  The Republican Party?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E9E"/>
    <w:multiLevelType w:val="hybridMultilevel"/>
    <w:tmpl w:val="C25C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159D4"/>
    <w:multiLevelType w:val="hybridMultilevel"/>
    <w:tmpl w:val="255A3E8C"/>
    <w:lvl w:ilvl="0" w:tplc="3DB48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E0028"/>
    <w:multiLevelType w:val="hybridMultilevel"/>
    <w:tmpl w:val="449A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803BB"/>
    <w:multiLevelType w:val="hybridMultilevel"/>
    <w:tmpl w:val="B936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E0618"/>
    <w:multiLevelType w:val="hybridMultilevel"/>
    <w:tmpl w:val="C980A7D0"/>
    <w:lvl w:ilvl="0" w:tplc="96BAF822">
      <w:start w:val="1"/>
      <w:numFmt w:val="decimal"/>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53EE0D19"/>
    <w:multiLevelType w:val="hybridMultilevel"/>
    <w:tmpl w:val="9A0A0E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42558"/>
    <w:multiLevelType w:val="hybridMultilevel"/>
    <w:tmpl w:val="8F44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97AE5"/>
    <w:multiLevelType w:val="hybridMultilevel"/>
    <w:tmpl w:val="B066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6D2BD2"/>
    <w:multiLevelType w:val="hybridMultilevel"/>
    <w:tmpl w:val="A6EE8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4329D"/>
    <w:multiLevelType w:val="hybridMultilevel"/>
    <w:tmpl w:val="F442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638B2"/>
    <w:multiLevelType w:val="hybridMultilevel"/>
    <w:tmpl w:val="D01421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D0C25D6"/>
    <w:multiLevelType w:val="hybridMultilevel"/>
    <w:tmpl w:val="76DAF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606C5"/>
    <w:multiLevelType w:val="hybridMultilevel"/>
    <w:tmpl w:val="BA4EE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11"/>
  </w:num>
  <w:num w:numId="3">
    <w:abstractNumId w:val="5"/>
  </w:num>
  <w:num w:numId="4">
    <w:abstractNumId w:val="10"/>
  </w:num>
  <w:num w:numId="5">
    <w:abstractNumId w:val="7"/>
  </w:num>
  <w:num w:numId="6">
    <w:abstractNumId w:val="2"/>
  </w:num>
  <w:num w:numId="7">
    <w:abstractNumId w:val="0"/>
  </w:num>
  <w:num w:numId="8">
    <w:abstractNumId w:val="6"/>
  </w:num>
  <w:num w:numId="9">
    <w:abstractNumId w:val="1"/>
  </w:num>
  <w:num w:numId="10">
    <w:abstractNumId w:val="4"/>
  </w:num>
  <w:num w:numId="11">
    <w:abstractNumId w:val="1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6626"/>
    <o:shapelayout v:ext="edit">
      <o:idmap v:ext="edit" data="11"/>
    </o:shapelayout>
  </w:hdrShapeDefaults>
  <w:footnotePr>
    <w:footnote w:id="-1"/>
    <w:footnote w:id="0"/>
  </w:footnotePr>
  <w:endnotePr>
    <w:endnote w:id="-1"/>
    <w:endnote w:id="0"/>
  </w:endnotePr>
  <w:compat>
    <w:ulTrailSpace/>
  </w:compat>
  <w:rsids>
    <w:rsidRoot w:val="00650678"/>
    <w:rsid w:val="00004D8C"/>
    <w:rsid w:val="0001245C"/>
    <w:rsid w:val="0004523D"/>
    <w:rsid w:val="00052476"/>
    <w:rsid w:val="000919BA"/>
    <w:rsid w:val="000A289F"/>
    <w:rsid w:val="000B28A7"/>
    <w:rsid w:val="000B4976"/>
    <w:rsid w:val="000F0557"/>
    <w:rsid w:val="0012098D"/>
    <w:rsid w:val="00160EF9"/>
    <w:rsid w:val="00187268"/>
    <w:rsid w:val="001A144F"/>
    <w:rsid w:val="001B138E"/>
    <w:rsid w:val="001B1DF5"/>
    <w:rsid w:val="001C3F47"/>
    <w:rsid w:val="001F3B6B"/>
    <w:rsid w:val="00225A3C"/>
    <w:rsid w:val="00256DA7"/>
    <w:rsid w:val="00261892"/>
    <w:rsid w:val="00273AE7"/>
    <w:rsid w:val="00274F1D"/>
    <w:rsid w:val="00277A68"/>
    <w:rsid w:val="002A67E3"/>
    <w:rsid w:val="002F5BFB"/>
    <w:rsid w:val="00300B1B"/>
    <w:rsid w:val="00330CA2"/>
    <w:rsid w:val="00343BE1"/>
    <w:rsid w:val="00366E61"/>
    <w:rsid w:val="00385E38"/>
    <w:rsid w:val="003D01C9"/>
    <w:rsid w:val="003E154E"/>
    <w:rsid w:val="003F3916"/>
    <w:rsid w:val="004211DE"/>
    <w:rsid w:val="00464595"/>
    <w:rsid w:val="00465F98"/>
    <w:rsid w:val="004B0800"/>
    <w:rsid w:val="004B54F8"/>
    <w:rsid w:val="004E674E"/>
    <w:rsid w:val="00501449"/>
    <w:rsid w:val="005042AA"/>
    <w:rsid w:val="00505E60"/>
    <w:rsid w:val="00511C22"/>
    <w:rsid w:val="0052173B"/>
    <w:rsid w:val="0052751C"/>
    <w:rsid w:val="00530D2E"/>
    <w:rsid w:val="005312FE"/>
    <w:rsid w:val="005322C9"/>
    <w:rsid w:val="00536088"/>
    <w:rsid w:val="00566EEB"/>
    <w:rsid w:val="00570A54"/>
    <w:rsid w:val="005752FB"/>
    <w:rsid w:val="0059333D"/>
    <w:rsid w:val="005A2209"/>
    <w:rsid w:val="005A5775"/>
    <w:rsid w:val="005A79D4"/>
    <w:rsid w:val="005B5C3E"/>
    <w:rsid w:val="005E6B95"/>
    <w:rsid w:val="005F674A"/>
    <w:rsid w:val="00600C0E"/>
    <w:rsid w:val="00610E50"/>
    <w:rsid w:val="00614362"/>
    <w:rsid w:val="0061775A"/>
    <w:rsid w:val="00650678"/>
    <w:rsid w:val="00671411"/>
    <w:rsid w:val="00673100"/>
    <w:rsid w:val="006D15FF"/>
    <w:rsid w:val="006D4898"/>
    <w:rsid w:val="00714D25"/>
    <w:rsid w:val="00722A72"/>
    <w:rsid w:val="007315AF"/>
    <w:rsid w:val="007766E3"/>
    <w:rsid w:val="007C128D"/>
    <w:rsid w:val="007C63AC"/>
    <w:rsid w:val="007D262B"/>
    <w:rsid w:val="007F0824"/>
    <w:rsid w:val="007F3B8D"/>
    <w:rsid w:val="007F591E"/>
    <w:rsid w:val="00802ABF"/>
    <w:rsid w:val="0085015F"/>
    <w:rsid w:val="008651FB"/>
    <w:rsid w:val="0087384B"/>
    <w:rsid w:val="00877CF1"/>
    <w:rsid w:val="00883E5B"/>
    <w:rsid w:val="008C12D5"/>
    <w:rsid w:val="008E19A8"/>
    <w:rsid w:val="008E3B0A"/>
    <w:rsid w:val="00914436"/>
    <w:rsid w:val="00933150"/>
    <w:rsid w:val="009352D5"/>
    <w:rsid w:val="0095520D"/>
    <w:rsid w:val="009859A3"/>
    <w:rsid w:val="00987702"/>
    <w:rsid w:val="009A63EC"/>
    <w:rsid w:val="009A786E"/>
    <w:rsid w:val="009C2B4C"/>
    <w:rsid w:val="009F4056"/>
    <w:rsid w:val="00A31515"/>
    <w:rsid w:val="00A3438A"/>
    <w:rsid w:val="00A441E9"/>
    <w:rsid w:val="00A624EB"/>
    <w:rsid w:val="00A642BD"/>
    <w:rsid w:val="00A75CE9"/>
    <w:rsid w:val="00AE0E39"/>
    <w:rsid w:val="00B039A1"/>
    <w:rsid w:val="00B20B9C"/>
    <w:rsid w:val="00B243F3"/>
    <w:rsid w:val="00B653DB"/>
    <w:rsid w:val="00B75342"/>
    <w:rsid w:val="00B7795F"/>
    <w:rsid w:val="00B94668"/>
    <w:rsid w:val="00BC100F"/>
    <w:rsid w:val="00C001E5"/>
    <w:rsid w:val="00C03AC4"/>
    <w:rsid w:val="00C24BE7"/>
    <w:rsid w:val="00C34887"/>
    <w:rsid w:val="00C825CC"/>
    <w:rsid w:val="00C97B45"/>
    <w:rsid w:val="00CB4A65"/>
    <w:rsid w:val="00CC674E"/>
    <w:rsid w:val="00CE6860"/>
    <w:rsid w:val="00D0274F"/>
    <w:rsid w:val="00D044A1"/>
    <w:rsid w:val="00D06B24"/>
    <w:rsid w:val="00D21AF9"/>
    <w:rsid w:val="00D232F1"/>
    <w:rsid w:val="00D35E22"/>
    <w:rsid w:val="00D47842"/>
    <w:rsid w:val="00D6663C"/>
    <w:rsid w:val="00D66E93"/>
    <w:rsid w:val="00D74191"/>
    <w:rsid w:val="00DA4799"/>
    <w:rsid w:val="00DA591E"/>
    <w:rsid w:val="00E03367"/>
    <w:rsid w:val="00E21ACB"/>
    <w:rsid w:val="00E749BF"/>
    <w:rsid w:val="00EA5299"/>
    <w:rsid w:val="00EB38F1"/>
    <w:rsid w:val="00EC260C"/>
    <w:rsid w:val="00EE707D"/>
    <w:rsid w:val="00F117E0"/>
    <w:rsid w:val="00F33008"/>
    <w:rsid w:val="00F9602A"/>
    <w:rsid w:val="00FA7C90"/>
    <w:rsid w:val="00FB20F2"/>
    <w:rsid w:val="00FB4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06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0678"/>
    <w:pPr>
      <w:ind w:left="100"/>
    </w:pPr>
    <w:rPr>
      <w:rFonts w:ascii="Cambria" w:eastAsia="Cambria" w:hAnsi="Cambria"/>
    </w:rPr>
  </w:style>
  <w:style w:type="paragraph" w:styleId="ListParagraph">
    <w:name w:val="List Paragraph"/>
    <w:basedOn w:val="Normal"/>
    <w:uiPriority w:val="34"/>
    <w:qFormat/>
    <w:rsid w:val="00650678"/>
  </w:style>
  <w:style w:type="paragraph" w:customStyle="1" w:styleId="TableParagraph">
    <w:name w:val="Table Paragraph"/>
    <w:basedOn w:val="Normal"/>
    <w:uiPriority w:val="1"/>
    <w:qFormat/>
    <w:rsid w:val="00650678"/>
  </w:style>
  <w:style w:type="paragraph" w:styleId="BalloonText">
    <w:name w:val="Balloon Text"/>
    <w:basedOn w:val="Normal"/>
    <w:link w:val="BalloonTextChar"/>
    <w:uiPriority w:val="99"/>
    <w:semiHidden/>
    <w:unhideWhenUsed/>
    <w:rsid w:val="00D35E22"/>
    <w:rPr>
      <w:rFonts w:ascii="Tahoma" w:hAnsi="Tahoma" w:cs="Tahoma"/>
      <w:sz w:val="16"/>
      <w:szCs w:val="16"/>
    </w:rPr>
  </w:style>
  <w:style w:type="character" w:customStyle="1" w:styleId="BalloonTextChar">
    <w:name w:val="Balloon Text Char"/>
    <w:basedOn w:val="DefaultParagraphFont"/>
    <w:link w:val="BalloonText"/>
    <w:uiPriority w:val="99"/>
    <w:semiHidden/>
    <w:rsid w:val="00D35E22"/>
    <w:rPr>
      <w:rFonts w:ascii="Tahoma" w:hAnsi="Tahoma" w:cs="Tahoma"/>
      <w:sz w:val="16"/>
      <w:szCs w:val="16"/>
    </w:rPr>
  </w:style>
  <w:style w:type="paragraph" w:styleId="Header">
    <w:name w:val="header"/>
    <w:basedOn w:val="Normal"/>
    <w:link w:val="HeaderChar"/>
    <w:uiPriority w:val="99"/>
    <w:unhideWhenUsed/>
    <w:rsid w:val="00D044A1"/>
    <w:pPr>
      <w:tabs>
        <w:tab w:val="center" w:pos="4680"/>
        <w:tab w:val="right" w:pos="9360"/>
      </w:tabs>
    </w:pPr>
  </w:style>
  <w:style w:type="character" w:customStyle="1" w:styleId="HeaderChar">
    <w:name w:val="Header Char"/>
    <w:basedOn w:val="DefaultParagraphFont"/>
    <w:link w:val="Header"/>
    <w:uiPriority w:val="99"/>
    <w:rsid w:val="00D044A1"/>
  </w:style>
  <w:style w:type="paragraph" w:styleId="Footer">
    <w:name w:val="footer"/>
    <w:basedOn w:val="Normal"/>
    <w:link w:val="FooterChar"/>
    <w:uiPriority w:val="99"/>
    <w:unhideWhenUsed/>
    <w:rsid w:val="00D044A1"/>
    <w:pPr>
      <w:tabs>
        <w:tab w:val="center" w:pos="4680"/>
        <w:tab w:val="right" w:pos="9360"/>
      </w:tabs>
    </w:pPr>
  </w:style>
  <w:style w:type="character" w:customStyle="1" w:styleId="FooterChar">
    <w:name w:val="Footer Char"/>
    <w:basedOn w:val="DefaultParagraphFont"/>
    <w:link w:val="Footer"/>
    <w:uiPriority w:val="99"/>
    <w:rsid w:val="00D044A1"/>
  </w:style>
  <w:style w:type="character" w:customStyle="1" w:styleId="BodyTextChar">
    <w:name w:val="Body Text Char"/>
    <w:basedOn w:val="DefaultParagraphFont"/>
    <w:link w:val="BodyText"/>
    <w:uiPriority w:val="1"/>
    <w:rsid w:val="003E154E"/>
    <w:rPr>
      <w:rFonts w:ascii="Cambria" w:eastAsia="Cambria" w:hAnsi="Cambria"/>
    </w:rPr>
  </w:style>
  <w:style w:type="paragraph" w:styleId="FootnoteText">
    <w:name w:val="footnote text"/>
    <w:basedOn w:val="Normal"/>
    <w:link w:val="FootnoteTextChar"/>
    <w:uiPriority w:val="99"/>
    <w:semiHidden/>
    <w:unhideWhenUsed/>
    <w:rsid w:val="009F4056"/>
    <w:rPr>
      <w:sz w:val="20"/>
      <w:szCs w:val="20"/>
    </w:rPr>
  </w:style>
  <w:style w:type="character" w:customStyle="1" w:styleId="FootnoteTextChar">
    <w:name w:val="Footnote Text Char"/>
    <w:basedOn w:val="DefaultParagraphFont"/>
    <w:link w:val="FootnoteText"/>
    <w:uiPriority w:val="99"/>
    <w:semiHidden/>
    <w:rsid w:val="009F4056"/>
    <w:rPr>
      <w:sz w:val="20"/>
      <w:szCs w:val="20"/>
    </w:rPr>
  </w:style>
  <w:style w:type="character" w:styleId="FootnoteReference">
    <w:name w:val="footnote reference"/>
    <w:basedOn w:val="DefaultParagraphFont"/>
    <w:uiPriority w:val="99"/>
    <w:semiHidden/>
    <w:unhideWhenUsed/>
    <w:rsid w:val="009F4056"/>
    <w:rPr>
      <w:vertAlign w:val="superscript"/>
    </w:rPr>
  </w:style>
  <w:style w:type="table" w:styleId="TableGrid">
    <w:name w:val="Table Grid"/>
    <w:basedOn w:val="TableNormal"/>
    <w:uiPriority w:val="39"/>
    <w:rsid w:val="00B243F3"/>
    <w:pPr>
      <w:widowControl/>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66E93"/>
    <w:rPr>
      <w:sz w:val="20"/>
      <w:szCs w:val="20"/>
    </w:rPr>
  </w:style>
  <w:style w:type="character" w:customStyle="1" w:styleId="EndnoteTextChar">
    <w:name w:val="Endnote Text Char"/>
    <w:basedOn w:val="DefaultParagraphFont"/>
    <w:link w:val="EndnoteText"/>
    <w:uiPriority w:val="99"/>
    <w:semiHidden/>
    <w:rsid w:val="00D66E93"/>
    <w:rPr>
      <w:sz w:val="20"/>
      <w:szCs w:val="20"/>
    </w:rPr>
  </w:style>
  <w:style w:type="character" w:styleId="EndnoteReference">
    <w:name w:val="endnote reference"/>
    <w:basedOn w:val="DefaultParagraphFont"/>
    <w:uiPriority w:val="99"/>
    <w:semiHidden/>
    <w:unhideWhenUsed/>
    <w:rsid w:val="00D66E93"/>
    <w:rPr>
      <w:vertAlign w:val="superscript"/>
    </w:rPr>
  </w:style>
</w:styles>
</file>

<file path=word/webSettings.xml><?xml version="1.0" encoding="utf-8"?>
<w:webSettings xmlns:r="http://schemas.openxmlformats.org/officeDocument/2006/relationships" xmlns:w="http://schemas.openxmlformats.org/wordprocessingml/2006/main">
  <w:divs>
    <w:div w:id="374546394">
      <w:bodyDiv w:val="1"/>
      <w:marLeft w:val="0"/>
      <w:marRight w:val="0"/>
      <w:marTop w:val="0"/>
      <w:marBottom w:val="0"/>
      <w:divBdr>
        <w:top w:val="none" w:sz="0" w:space="0" w:color="auto"/>
        <w:left w:val="none" w:sz="0" w:space="0" w:color="auto"/>
        <w:bottom w:val="none" w:sz="0" w:space="0" w:color="auto"/>
        <w:right w:val="none" w:sz="0" w:space="0" w:color="auto"/>
      </w:divBdr>
      <w:divsChild>
        <w:div w:id="568197534">
          <w:marLeft w:val="187"/>
          <w:marRight w:val="0"/>
          <w:marTop w:val="0"/>
          <w:marBottom w:val="0"/>
          <w:divBdr>
            <w:top w:val="none" w:sz="0" w:space="0" w:color="auto"/>
            <w:left w:val="none" w:sz="0" w:space="0" w:color="auto"/>
            <w:bottom w:val="none" w:sz="0" w:space="0" w:color="auto"/>
            <w:right w:val="none" w:sz="0" w:space="0" w:color="auto"/>
          </w:divBdr>
        </w:div>
        <w:div w:id="113788406">
          <w:marLeft w:val="187"/>
          <w:marRight w:val="0"/>
          <w:marTop w:val="0"/>
          <w:marBottom w:val="0"/>
          <w:divBdr>
            <w:top w:val="none" w:sz="0" w:space="0" w:color="auto"/>
            <w:left w:val="none" w:sz="0" w:space="0" w:color="auto"/>
            <w:bottom w:val="none" w:sz="0" w:space="0" w:color="auto"/>
            <w:right w:val="none" w:sz="0" w:space="0" w:color="auto"/>
          </w:divBdr>
        </w:div>
        <w:div w:id="374043110">
          <w:marLeft w:val="187"/>
          <w:marRight w:val="0"/>
          <w:marTop w:val="0"/>
          <w:marBottom w:val="0"/>
          <w:divBdr>
            <w:top w:val="none" w:sz="0" w:space="0" w:color="auto"/>
            <w:left w:val="none" w:sz="0" w:space="0" w:color="auto"/>
            <w:bottom w:val="none" w:sz="0" w:space="0" w:color="auto"/>
            <w:right w:val="none" w:sz="0" w:space="0" w:color="auto"/>
          </w:divBdr>
        </w:div>
        <w:div w:id="966398327">
          <w:marLeft w:val="18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8C842-2BDF-485D-B973-EA59D820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6</cp:revision>
  <cp:lastPrinted>2017-04-24T21:14:00Z</cp:lastPrinted>
  <dcterms:created xsi:type="dcterms:W3CDTF">2017-04-13T16:37:00Z</dcterms:created>
  <dcterms:modified xsi:type="dcterms:W3CDTF">2017-04-24T21:48:00Z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LastSaved">
    <vt:filetime>2014-05-29T00:00:00Z</vt:filetime>
  </property>
</Properties>
</file>