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39" w:rsidRPr="0087384B" w:rsidRDefault="00AE0E39" w:rsidP="005B5C3E">
      <w:pPr>
        <w:rPr>
          <w:u w:val="single"/>
        </w:rPr>
      </w:pPr>
    </w:p>
    <w:p w:rsidR="0009232E" w:rsidRDefault="005A2209" w:rsidP="00B20B9C">
      <w:pPr>
        <w:widowControl/>
        <w:spacing w:after="200" w:line="276" w:lineRule="auto"/>
        <w:contextualSpacing/>
      </w:pPr>
      <w:r>
        <w:t xml:space="preserve">Our </w:t>
      </w:r>
      <w:r w:rsidR="00BD6418">
        <w:t xml:space="preserve">January </w:t>
      </w:r>
      <w:r w:rsidR="00682115" w:rsidRPr="00682115">
        <w:rPr>
          <w:i/>
        </w:rPr>
        <w:t>Discourse</w:t>
      </w:r>
      <w:r w:rsidR="00682115">
        <w:t xml:space="preserve"> </w:t>
      </w:r>
      <w:r w:rsidR="00465F98">
        <w:t xml:space="preserve">investigated the idea of “trust.”  </w:t>
      </w:r>
    </w:p>
    <w:p w:rsidR="0009232E" w:rsidRDefault="0009232E" w:rsidP="00B20B9C">
      <w:pPr>
        <w:widowControl/>
        <w:spacing w:after="200" w:line="276" w:lineRule="auto"/>
        <w:contextualSpacing/>
      </w:pPr>
    </w:p>
    <w:p w:rsidR="0009232E" w:rsidRDefault="00A56C60" w:rsidP="00B20B9C">
      <w:pPr>
        <w:widowControl/>
        <w:spacing w:after="200" w:line="276" w:lineRule="auto"/>
        <w:contextualSpacing/>
      </w:pPr>
      <w:r>
        <w:t xml:space="preserve">Matt began the evening by relaying a personal experience he had in 1994-1995 as he developed a relationship with </w:t>
      </w:r>
      <w:proofErr w:type="spellStart"/>
      <w:r>
        <w:t>Pétur</w:t>
      </w:r>
      <w:proofErr w:type="spellEnd"/>
      <w:r>
        <w:t xml:space="preserve"> </w:t>
      </w:r>
      <w:proofErr w:type="spellStart"/>
      <w:r>
        <w:t>Kidson</w:t>
      </w:r>
      <w:proofErr w:type="spellEnd"/>
      <w:r>
        <w:t xml:space="preserve"> </w:t>
      </w:r>
      <w:proofErr w:type="spellStart"/>
      <w:r>
        <w:t>Karlsson</w:t>
      </w:r>
      <w:proofErr w:type="spellEnd"/>
      <w:r>
        <w:t xml:space="preserve"> of </w:t>
      </w:r>
      <w:proofErr w:type="spellStart"/>
      <w:r>
        <w:t>Reykyavík</w:t>
      </w:r>
      <w:proofErr w:type="spellEnd"/>
      <w:r>
        <w:t xml:space="preserve">, </w:t>
      </w:r>
      <w:proofErr w:type="spellStart"/>
      <w:r>
        <w:t>Ísland</w:t>
      </w:r>
      <w:proofErr w:type="spellEnd"/>
      <w:r>
        <w:t xml:space="preserve">.  The story recounts Matt taking extraordinary effort to help transport Mr. </w:t>
      </w:r>
      <w:proofErr w:type="spellStart"/>
      <w:r>
        <w:t>Karlsson’s</w:t>
      </w:r>
      <w:proofErr w:type="spellEnd"/>
      <w:r>
        <w:t xml:space="preserve"> personal </w:t>
      </w:r>
      <w:proofErr w:type="gramStart"/>
      <w:r>
        <w:t>effects</w:t>
      </w:r>
      <w:proofErr w:type="gramEnd"/>
      <w:r>
        <w:t xml:space="preserve"> to Hove, Britain after Mr. </w:t>
      </w:r>
      <w:proofErr w:type="spellStart"/>
      <w:r>
        <w:t>Karlsson</w:t>
      </w:r>
      <w:proofErr w:type="spellEnd"/>
      <w:r>
        <w:t xml:space="preserve"> moved back to Britain after having lived in</w:t>
      </w:r>
      <w:r w:rsidRPr="00A56C60">
        <w:t xml:space="preserve"> </w:t>
      </w:r>
      <w:proofErr w:type="spellStart"/>
      <w:r>
        <w:t>Ísland</w:t>
      </w:r>
      <w:proofErr w:type="spellEnd"/>
      <w:r>
        <w:t xml:space="preserve"> for many years.  When Matt arrived with the materials, weighing more than a half a ton, Mr. </w:t>
      </w:r>
      <w:proofErr w:type="spellStart"/>
      <w:r>
        <w:t>Karlsson</w:t>
      </w:r>
      <w:proofErr w:type="spellEnd"/>
      <w:r>
        <w:t xml:space="preserve"> had shown that he was certain that Matt would have</w:t>
      </w:r>
      <w:r w:rsidR="0009232E">
        <w:t xml:space="preserve"> arrived.  In essence, </w:t>
      </w:r>
      <w:proofErr w:type="spellStart"/>
      <w:r w:rsidR="0009232E">
        <w:t>Karlsson</w:t>
      </w:r>
      <w:proofErr w:type="spellEnd"/>
      <w:r w:rsidR="0009232E">
        <w:t xml:space="preserve"> had trusted Matt.  Matt asked the rhetorical questions of, “Why?</w:t>
      </w:r>
      <w:proofErr w:type="gramStart"/>
      <w:r w:rsidR="0009232E">
        <w:t>”.</w:t>
      </w:r>
      <w:proofErr w:type="gramEnd"/>
    </w:p>
    <w:p w:rsidR="0009232E" w:rsidRDefault="0009232E" w:rsidP="00B20B9C">
      <w:pPr>
        <w:widowControl/>
        <w:spacing w:after="200" w:line="276" w:lineRule="auto"/>
        <w:contextualSpacing/>
      </w:pPr>
    </w:p>
    <w:p w:rsidR="00465F98" w:rsidRDefault="0009232E" w:rsidP="00B20B9C">
      <w:pPr>
        <w:widowControl/>
        <w:spacing w:after="200" w:line="276" w:lineRule="auto"/>
        <w:contextualSpacing/>
      </w:pPr>
      <w:r>
        <w:t xml:space="preserve">The members of the </w:t>
      </w:r>
      <w:r w:rsidRPr="0009232E">
        <w:rPr>
          <w:i/>
        </w:rPr>
        <w:t>Discourse</w:t>
      </w:r>
      <w:r w:rsidR="00465F98" w:rsidRPr="0009232E">
        <w:rPr>
          <w:i/>
        </w:rPr>
        <w:t xml:space="preserve"> </w:t>
      </w:r>
      <w:r w:rsidR="00465F98">
        <w:t xml:space="preserve">noted that many candidates urge voters to trust them.  And in </w:t>
      </w:r>
      <w:r w:rsidR="001A144F">
        <w:t xml:space="preserve">American </w:t>
      </w:r>
      <w:r w:rsidR="00465F98">
        <w:t>society generally, citizens accept the need to build trust</w:t>
      </w:r>
      <w:r w:rsidR="00673100">
        <w:t>,</w:t>
      </w:r>
      <w:r w:rsidR="00465F98">
        <w:t xml:space="preserve"> as an article of faith.</w:t>
      </w:r>
      <w:r w:rsidR="008E19A8">
        <w:t xml:space="preserve">  The more trust we have, the thinking goes, the better off we are.</w:t>
      </w:r>
    </w:p>
    <w:p w:rsidR="00465F98" w:rsidRDefault="00465F98" w:rsidP="00B20B9C">
      <w:pPr>
        <w:widowControl/>
        <w:spacing w:after="200" w:line="276" w:lineRule="auto"/>
        <w:contextualSpacing/>
      </w:pPr>
    </w:p>
    <w:p w:rsidR="00B002DC" w:rsidRDefault="00465F98" w:rsidP="00B20B9C">
      <w:pPr>
        <w:widowControl/>
        <w:spacing w:after="200" w:line="276" w:lineRule="auto"/>
        <w:contextualSpacing/>
      </w:pPr>
      <w:r>
        <w:t xml:space="preserve">We examined trust by discussing a trust model that </w:t>
      </w:r>
      <w:r w:rsidR="00F86FAE">
        <w:t xml:space="preserve">Feely </w:t>
      </w:r>
      <w:r>
        <w:t xml:space="preserve">proposed (below).  </w:t>
      </w:r>
    </w:p>
    <w:p w:rsidR="00B002DC" w:rsidRDefault="00B002DC" w:rsidP="00B20B9C">
      <w:pPr>
        <w:widowControl/>
        <w:spacing w:after="200" w:line="276" w:lineRule="auto"/>
        <w:contextualSpacing/>
      </w:pPr>
    </w:p>
    <w:p w:rsidR="00B002DC" w:rsidRDefault="00B002DC" w:rsidP="00B20B9C">
      <w:pPr>
        <w:widowControl/>
        <w:spacing w:after="200" w:line="276" w:lineRule="auto"/>
        <w:contextualSpacing/>
      </w:pPr>
      <w:r>
        <w:t xml:space="preserve">The first order of business was to discuss the element of the Trust Model at the far left hand as presented on a two dimensional surface – trustworthiness.  This portion of the salon was conducted in a way that was akin to a university lecture, where Feely </w:t>
      </w:r>
      <w:r w:rsidR="00682115">
        <w:t xml:space="preserve">defined each element and then </w:t>
      </w:r>
      <w:r>
        <w:t xml:space="preserve">explained that each of the three elements of trustworthiness </w:t>
      </w:r>
      <w:r w:rsidR="00D32A6E">
        <w:t xml:space="preserve">is a </w:t>
      </w:r>
      <w:r>
        <w:t xml:space="preserve">prerequisite.  Furthermore, each of the elements </w:t>
      </w:r>
      <w:r w:rsidR="00D32A6E">
        <w:t xml:space="preserve">is </w:t>
      </w:r>
      <w:r>
        <w:t>a necessary</w:t>
      </w:r>
      <w:r w:rsidR="00D32A6E">
        <w:t>,</w:t>
      </w:r>
      <w:r>
        <w:t xml:space="preserve"> but insufficient condition for an entity to be deemed trustworthy.  All three prerequisites have to exist simultaneously.  </w:t>
      </w:r>
      <w:r w:rsidR="00D32A6E">
        <w:t xml:space="preserve">Members of the </w:t>
      </w:r>
      <w:r w:rsidR="00682115">
        <w:rPr>
          <w:i/>
        </w:rPr>
        <w:t>Discourse</w:t>
      </w:r>
      <w:r w:rsidR="00682115">
        <w:t xml:space="preserve"> </w:t>
      </w:r>
      <w:r w:rsidR="00D32A6E">
        <w:t>appeared to accept the premise, although the term “benevolence,” representing aligned values, led to some discomfort.  Very few participants accepted that benevolence represented the idea of aligned values, although no one offered an alternative vocabulary word to represent the concept.</w:t>
      </w:r>
    </w:p>
    <w:p w:rsidR="00D32A6E" w:rsidRDefault="00D32A6E" w:rsidP="00B20B9C">
      <w:pPr>
        <w:widowControl/>
        <w:spacing w:after="200" w:line="276" w:lineRule="auto"/>
        <w:contextualSpacing/>
      </w:pPr>
    </w:p>
    <w:p w:rsidR="00D32A6E" w:rsidRDefault="00682115" w:rsidP="00B20B9C">
      <w:pPr>
        <w:widowControl/>
        <w:spacing w:after="200" w:line="276" w:lineRule="auto"/>
        <w:contextualSpacing/>
      </w:pPr>
      <w:r w:rsidRPr="00682115">
        <w:rPr>
          <w:i/>
        </w:rPr>
        <w:t>Discourse</w:t>
      </w:r>
      <w:r>
        <w:t xml:space="preserve"> members </w:t>
      </w:r>
      <w:r w:rsidR="00D32A6E">
        <w:t>accept</w:t>
      </w:r>
      <w:r>
        <w:t>ed</w:t>
      </w:r>
      <w:r w:rsidR="00D32A6E">
        <w:t xml:space="preserve"> that potential </w:t>
      </w:r>
      <w:r w:rsidR="00BD6418">
        <w:t>“</w:t>
      </w:r>
      <w:proofErr w:type="spellStart"/>
      <w:r w:rsidR="00D32A6E">
        <w:t>trustors</w:t>
      </w:r>
      <w:proofErr w:type="spellEnd"/>
      <w:r w:rsidR="00D32A6E">
        <w:t xml:space="preserve">’ </w:t>
      </w:r>
      <w:r w:rsidR="00BD6418">
        <w:t xml:space="preserve">perceptions” </w:t>
      </w:r>
      <w:r w:rsidR="00D32A6E">
        <w:t>a</w:t>
      </w:r>
      <w:r>
        <w:t xml:space="preserve">re determined or influenced by </w:t>
      </w:r>
      <w:r w:rsidR="00D32A6E">
        <w:t>outcomes they experienced</w:t>
      </w:r>
      <w:r w:rsidR="00BD6418">
        <w:t xml:space="preserve"> from having </w:t>
      </w:r>
      <w:r w:rsidR="00D32A6E">
        <w:t>given trust to a specific entity or entities in general</w:t>
      </w:r>
      <w:r>
        <w:t xml:space="preserve">.  A potential </w:t>
      </w:r>
      <w:proofErr w:type="spellStart"/>
      <w:proofErr w:type="gramStart"/>
      <w:r>
        <w:t>trustor</w:t>
      </w:r>
      <w:proofErr w:type="spellEnd"/>
      <w:proofErr w:type="gramEnd"/>
      <w:r>
        <w:t xml:space="preserve"> whom had given trust to an entity only to be let down, might be less likely to trust even an inherently trustworthy entity.</w:t>
      </w:r>
      <w:r w:rsidR="00D32A6E">
        <w:t xml:space="preserve">  </w:t>
      </w:r>
    </w:p>
    <w:p w:rsidR="00D32A6E" w:rsidRDefault="00D32A6E" w:rsidP="00B20B9C">
      <w:pPr>
        <w:widowControl/>
        <w:spacing w:after="200" w:line="276" w:lineRule="auto"/>
        <w:contextualSpacing/>
      </w:pPr>
    </w:p>
    <w:p w:rsidR="00802F63" w:rsidRDefault="00802F63" w:rsidP="00B20B9C">
      <w:pPr>
        <w:widowControl/>
        <w:spacing w:after="200" w:line="276" w:lineRule="auto"/>
        <w:contextualSpacing/>
      </w:pPr>
      <w:r>
        <w:t>Participants al</w:t>
      </w:r>
      <w:r w:rsidR="00D32A6E">
        <w:t xml:space="preserve">so accepted that the </w:t>
      </w:r>
      <w:r w:rsidR="00BD6418">
        <w:t>“</w:t>
      </w:r>
      <w:r w:rsidR="00D32A6E">
        <w:t>perceived risk</w:t>
      </w:r>
      <w:r w:rsidR="00BD6418">
        <w:t>”</w:t>
      </w:r>
      <w:r w:rsidR="00D32A6E">
        <w:t xml:space="preserve"> </w:t>
      </w:r>
      <w:r>
        <w:t xml:space="preserve">articulated in the model was necessary to give a context, a meaning to the model.  It made no sense to speak about trust if the (potential) </w:t>
      </w:r>
      <w:proofErr w:type="spellStart"/>
      <w:r>
        <w:t>trustor</w:t>
      </w:r>
      <w:proofErr w:type="spellEnd"/>
      <w:r>
        <w:t xml:space="preserve"> had no risk, in other words, had nothing to lose.  It is</w:t>
      </w:r>
      <w:r w:rsidR="008D0101">
        <w:t xml:space="preserve"> </w:t>
      </w:r>
      <w:r>
        <w:t xml:space="preserve">altogether easy for a potential </w:t>
      </w:r>
      <w:proofErr w:type="spellStart"/>
      <w:r>
        <w:t>trustor</w:t>
      </w:r>
      <w:proofErr w:type="spellEnd"/>
      <w:r>
        <w:t xml:space="preserve"> to claim trust in a trustee if the </w:t>
      </w:r>
      <w:proofErr w:type="spellStart"/>
      <w:r>
        <w:t>trustor</w:t>
      </w:r>
      <w:proofErr w:type="spellEnd"/>
      <w:r>
        <w:t xml:space="preserve"> has nothing to lose from trusting the entity.</w:t>
      </w:r>
    </w:p>
    <w:p w:rsidR="00BD6418" w:rsidRDefault="00BD6418" w:rsidP="00B20B9C">
      <w:pPr>
        <w:widowControl/>
        <w:spacing w:after="200" w:line="276" w:lineRule="auto"/>
        <w:contextualSpacing/>
      </w:pPr>
    </w:p>
    <w:p w:rsidR="00802F63" w:rsidRDefault="00802F63" w:rsidP="00802F63">
      <w:pPr>
        <w:widowControl/>
        <w:spacing w:after="200" w:line="276" w:lineRule="auto"/>
        <w:contextualSpacing/>
        <w:jc w:val="center"/>
      </w:pPr>
      <w:r w:rsidRPr="00802F63">
        <w:rPr>
          <w:noProof/>
        </w:rPr>
        <w:lastRenderedPageBreak/>
        <w:drawing>
          <wp:inline distT="0" distB="0" distL="0" distR="0">
            <wp:extent cx="4972050" cy="2000250"/>
            <wp:effectExtent l="19050" t="0" r="0" b="0"/>
            <wp:docPr id="2"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72205" cy="4509655"/>
                      <a:chOff x="137160" y="1143000"/>
                      <a:chExt cx="8972205" cy="4509655"/>
                    </a:xfrm>
                  </a:grpSpPr>
                  <a:grpSp>
                    <a:nvGrpSpPr>
                      <a:cNvPr id="2" name="Group 47"/>
                      <a:cNvGrpSpPr/>
                    </a:nvGrpSpPr>
                    <a:grpSpPr>
                      <a:xfrm>
                        <a:off x="137160" y="1143000"/>
                        <a:ext cx="8972205" cy="4509655"/>
                        <a:chOff x="137160" y="1143000"/>
                        <a:chExt cx="8972205" cy="4509655"/>
                      </a:xfrm>
                    </a:grpSpPr>
                    <a:sp>
                      <a:nvSpPr>
                        <a:cNvPr id="37" name="Rectangle 36"/>
                        <a:cNvSpPr/>
                      </a:nvSpPr>
                      <a:spPr>
                        <a:xfrm>
                          <a:off x="408710" y="2335601"/>
                          <a:ext cx="1905000" cy="216131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ln>
                                <a:solidFill>
                                  <a:schemeClr val="tx1"/>
                                </a:solidFill>
                              </a:ln>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533400" y="2411801"/>
                          <a:ext cx="1676400" cy="590202"/>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TextBox 5"/>
                        <a:cNvSpPr txBox="1"/>
                      </a:nvSpPr>
                      <a:spPr>
                        <a:xfrm>
                          <a:off x="533400" y="2529566"/>
                          <a:ext cx="1676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Ability</a:t>
                            </a:r>
                            <a:endParaRPr lang="en-US" dirty="0">
                              <a:latin typeface="Times New Roman" pitchFamily="18" charset="0"/>
                              <a:cs typeface="Times New Roman" pitchFamily="18" charset="0"/>
                            </a:endParaRPr>
                          </a:p>
                        </a:txBody>
                        <a:useSpRect/>
                      </a:txSp>
                    </a:sp>
                    <a:sp>
                      <a:nvSpPr>
                        <a:cNvPr id="7" name="Rectangle 6"/>
                        <a:cNvSpPr/>
                      </a:nvSpPr>
                      <a:spPr>
                        <a:xfrm>
                          <a:off x="533400" y="3811111"/>
                          <a:ext cx="1676400" cy="590202"/>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TextBox 7"/>
                        <a:cNvSpPr txBox="1"/>
                      </a:nvSpPr>
                      <a:spPr>
                        <a:xfrm>
                          <a:off x="533400" y="3923333"/>
                          <a:ext cx="1676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Integrity</a:t>
                            </a:r>
                            <a:endParaRPr lang="en-US" dirty="0">
                              <a:latin typeface="Times New Roman" pitchFamily="18" charset="0"/>
                              <a:cs typeface="Times New Roman" pitchFamily="18" charset="0"/>
                            </a:endParaRPr>
                          </a:p>
                        </a:txBody>
                        <a:useSpRect/>
                      </a:txSp>
                    </a:sp>
                    <a:sp>
                      <a:nvSpPr>
                        <a:cNvPr id="9" name="Rectangle 8"/>
                        <a:cNvSpPr/>
                      </a:nvSpPr>
                      <a:spPr>
                        <a:xfrm>
                          <a:off x="533400" y="3116999"/>
                          <a:ext cx="1676400" cy="590202"/>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533400" y="3218760"/>
                          <a:ext cx="1676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Benevolence</a:t>
                            </a:r>
                            <a:endParaRPr lang="en-US" dirty="0">
                              <a:latin typeface="Times New Roman" pitchFamily="18" charset="0"/>
                              <a:cs typeface="Times New Roman" pitchFamily="18" charset="0"/>
                            </a:endParaRPr>
                          </a:p>
                        </a:txBody>
                        <a:useSpRect/>
                      </a:txSp>
                    </a:sp>
                    <a:sp>
                      <a:nvSpPr>
                        <a:cNvPr id="11" name="Rectangle 10"/>
                        <a:cNvSpPr/>
                      </a:nvSpPr>
                      <a:spPr>
                        <a:xfrm>
                          <a:off x="2514600" y="4342018"/>
                          <a:ext cx="2057400" cy="590202"/>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2514600" y="4282166"/>
                          <a:ext cx="20574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Trustors’  (Voters’) Propensity</a:t>
                            </a:r>
                            <a:endParaRPr lang="en-US" dirty="0">
                              <a:latin typeface="Times New Roman" pitchFamily="18" charset="0"/>
                              <a:cs typeface="Times New Roman" pitchFamily="18" charset="0"/>
                            </a:endParaRPr>
                          </a:p>
                        </a:txBody>
                        <a:useSpRect/>
                      </a:txSp>
                    </a:sp>
                    <a:sp>
                      <a:nvSpPr>
                        <a:cNvPr id="13" name="Rectangle 12"/>
                        <a:cNvSpPr/>
                      </a:nvSpPr>
                      <a:spPr>
                        <a:xfrm>
                          <a:off x="7432965" y="3144709"/>
                          <a:ext cx="1676400" cy="590202"/>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TextBox 13"/>
                        <a:cNvSpPr txBox="1"/>
                      </a:nvSpPr>
                      <a:spPr>
                        <a:xfrm>
                          <a:off x="7432965" y="3261669"/>
                          <a:ext cx="1676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Outcomes</a:t>
                            </a:r>
                            <a:endParaRPr lang="en-US" dirty="0">
                              <a:latin typeface="Times New Roman" pitchFamily="18" charset="0"/>
                              <a:cs typeface="Times New Roman" pitchFamily="18" charset="0"/>
                            </a:endParaRPr>
                          </a:p>
                        </a:txBody>
                        <a:useSpRect/>
                      </a:txSp>
                    </a:sp>
                    <a:sp>
                      <a:nvSpPr>
                        <a:cNvPr id="15" name="Rectangle 14"/>
                        <a:cNvSpPr/>
                      </a:nvSpPr>
                      <a:spPr>
                        <a:xfrm>
                          <a:off x="5508565" y="3144709"/>
                          <a:ext cx="1676400" cy="590202"/>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extBox 15"/>
                        <a:cNvSpPr txBox="1"/>
                      </a:nvSpPr>
                      <a:spPr>
                        <a:xfrm>
                          <a:off x="5508565" y="3124326"/>
                          <a:ext cx="16764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Risk Taking in Relationship</a:t>
                            </a:r>
                            <a:endParaRPr lang="en-US" dirty="0">
                              <a:latin typeface="Times New Roman" pitchFamily="18" charset="0"/>
                              <a:cs typeface="Times New Roman" pitchFamily="18" charset="0"/>
                            </a:endParaRPr>
                          </a:p>
                        </a:txBody>
                        <a:useSpRect/>
                      </a:txSp>
                    </a:sp>
                    <a:sp>
                      <a:nvSpPr>
                        <a:cNvPr id="17" name="Rectangle 16"/>
                        <a:cNvSpPr/>
                      </a:nvSpPr>
                      <a:spPr>
                        <a:xfrm>
                          <a:off x="3549535" y="3144709"/>
                          <a:ext cx="1676400" cy="590202"/>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3549535" y="3261669"/>
                          <a:ext cx="1676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Trust</a:t>
                            </a:r>
                            <a:endParaRPr lang="en-US" dirty="0">
                              <a:latin typeface="Times New Roman" pitchFamily="18" charset="0"/>
                              <a:cs typeface="Times New Roman" pitchFamily="18" charset="0"/>
                            </a:endParaRPr>
                          </a:p>
                        </a:txBody>
                        <a:useSpRect/>
                      </a:txSp>
                    </a:sp>
                    <a:sp>
                      <a:nvSpPr>
                        <a:cNvPr id="19" name="Rectangle 18"/>
                        <a:cNvSpPr/>
                      </a:nvSpPr>
                      <a:spPr>
                        <a:xfrm>
                          <a:off x="2590800" y="1925509"/>
                          <a:ext cx="1676400" cy="590202"/>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TextBox 19"/>
                        <a:cNvSpPr txBox="1"/>
                      </a:nvSpPr>
                      <a:spPr>
                        <a:xfrm>
                          <a:off x="2590795" y="2041125"/>
                          <a:ext cx="1676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Perceived Risk</a:t>
                            </a:r>
                            <a:endParaRPr lang="en-US" dirty="0">
                              <a:latin typeface="Times New Roman" pitchFamily="18" charset="0"/>
                              <a:cs typeface="Times New Roman" pitchFamily="18" charset="0"/>
                            </a:endParaRPr>
                          </a:p>
                        </a:txBody>
                        <a:useSpRect/>
                      </a:txSp>
                    </a:sp>
                    <a:cxnSp>
                      <a:nvCxnSpPr>
                        <a:cNvPr id="24" name="Straight Arrow Connector 23"/>
                        <a:cNvCxnSpPr/>
                      </a:nvCxnSpPr>
                      <a:spPr>
                        <a:xfrm>
                          <a:off x="2364970" y="3430111"/>
                          <a:ext cx="118872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a:off x="7165570" y="3430111"/>
                          <a:ext cx="27432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6" name="Straight Arrow Connector 25"/>
                        <a:cNvCxnSpPr/>
                      </a:nvCxnSpPr>
                      <a:spPr>
                        <a:xfrm>
                          <a:off x="5225935" y="3430111"/>
                          <a:ext cx="27432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Straight Arrow Connector 26"/>
                        <a:cNvCxnSpPr/>
                      </a:nvCxnSpPr>
                      <a:spPr>
                        <a:xfrm>
                          <a:off x="3124199" y="2515711"/>
                          <a:ext cx="0" cy="91440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4" name="Straight Connector 33"/>
                        <a:cNvCxnSpPr/>
                      </a:nvCxnSpPr>
                      <a:spPr>
                        <a:xfrm>
                          <a:off x="8305800" y="3748766"/>
                          <a:ext cx="0" cy="118872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rot="5400000">
                          <a:off x="6568440" y="3216751"/>
                          <a:ext cx="0" cy="347472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6" name="Straight Connector 35"/>
                        <a:cNvCxnSpPr/>
                      </a:nvCxnSpPr>
                      <a:spPr>
                        <a:xfrm rot="5400000">
                          <a:off x="1325880" y="4146391"/>
                          <a:ext cx="0" cy="237744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sp>
                      <a:nvSpPr>
                        <a:cNvPr id="38" name="TextBox 37"/>
                        <a:cNvSpPr txBox="1"/>
                      </a:nvSpPr>
                      <a:spPr>
                        <a:xfrm>
                          <a:off x="408710" y="1703130"/>
                          <a:ext cx="19050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Factors of  Trustworthiness</a:t>
                            </a:r>
                            <a:endParaRPr lang="en-US" dirty="0">
                              <a:latin typeface="Times New Roman" pitchFamily="18" charset="0"/>
                              <a:cs typeface="Times New Roman" pitchFamily="18" charset="0"/>
                            </a:endParaRPr>
                          </a:p>
                        </a:txBody>
                        <a:useSpRect/>
                      </a:txSp>
                    </a:sp>
                    <a:sp>
                      <a:nvSpPr>
                        <a:cNvPr id="39" name="Rectangle 38"/>
                        <a:cNvSpPr/>
                      </a:nvSpPr>
                      <a:spPr>
                        <a:xfrm>
                          <a:off x="2514600" y="5062453"/>
                          <a:ext cx="2057400" cy="590202"/>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TextBox 39"/>
                        <a:cNvSpPr txBox="1"/>
                      </a:nvSpPr>
                      <a:spPr>
                        <a:xfrm>
                          <a:off x="2514600" y="5002601"/>
                          <a:ext cx="2039112"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Trustors’  (Voters’) Perceptions</a:t>
                            </a:r>
                            <a:endParaRPr lang="en-US" dirty="0">
                              <a:latin typeface="Times New Roman" pitchFamily="18" charset="0"/>
                              <a:cs typeface="Times New Roman" pitchFamily="18" charset="0"/>
                            </a:endParaRPr>
                          </a:p>
                        </a:txBody>
                        <a:useSpRect/>
                      </a:txSp>
                    </a:sp>
                    <a:cxnSp>
                      <a:nvCxnSpPr>
                        <a:cNvPr id="41" name="Straight Arrow Connector 40"/>
                        <a:cNvCxnSpPr/>
                      </a:nvCxnSpPr>
                      <a:spPr>
                        <a:xfrm>
                          <a:off x="152400" y="3430111"/>
                          <a:ext cx="27432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rot="10800000">
                          <a:off x="2895600" y="3416256"/>
                          <a:ext cx="0" cy="91440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Straight Connector 42"/>
                        <a:cNvCxnSpPr/>
                      </a:nvCxnSpPr>
                      <a:spPr>
                        <a:xfrm rot="5400000">
                          <a:off x="4725785" y="5170241"/>
                          <a:ext cx="0" cy="27432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a:off x="152400" y="3416256"/>
                          <a:ext cx="0" cy="192024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rot="10800000">
                          <a:off x="4842166" y="4582810"/>
                          <a:ext cx="0" cy="73152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6" name="Straight Connector 45"/>
                        <a:cNvCxnSpPr/>
                      </a:nvCxnSpPr>
                      <a:spPr>
                        <a:xfrm rot="5400000">
                          <a:off x="4723015" y="4470586"/>
                          <a:ext cx="0" cy="27432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sp>
                      <a:nvSpPr>
                        <a:cNvPr id="47" name="TextBox 46"/>
                        <a:cNvSpPr txBox="1"/>
                      </a:nvSpPr>
                      <a:spPr>
                        <a:xfrm>
                          <a:off x="3261033" y="1143000"/>
                          <a:ext cx="237776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latin typeface="Times New Roman" pitchFamily="18" charset="0"/>
                                <a:cs typeface="Times New Roman" pitchFamily="18" charset="0"/>
                              </a:rPr>
                              <a:t>Proposed Trust Model</a:t>
                            </a:r>
                            <a:endParaRPr lang="en-US" b="1" dirty="0">
                              <a:latin typeface="Times New Roman" pitchFamily="18" charset="0"/>
                              <a:cs typeface="Times New Roman" pitchFamily="18" charset="0"/>
                            </a:endParaRPr>
                          </a:p>
                        </a:txBody>
                        <a:useSpRect/>
                      </a:txSp>
                    </a:sp>
                  </a:grpSp>
                </lc:lockedCanvas>
              </a:graphicData>
            </a:graphic>
          </wp:inline>
        </w:drawing>
      </w:r>
    </w:p>
    <w:p w:rsidR="00802F63" w:rsidRDefault="00802F63" w:rsidP="00B20B9C">
      <w:pPr>
        <w:widowControl/>
        <w:spacing w:after="200" w:line="276" w:lineRule="auto"/>
        <w:contextualSpacing/>
      </w:pPr>
    </w:p>
    <w:p w:rsidR="00802F63" w:rsidRDefault="00802F63" w:rsidP="00B20B9C">
      <w:pPr>
        <w:widowControl/>
        <w:spacing w:after="200" w:line="276" w:lineRule="auto"/>
        <w:contextualSpacing/>
      </w:pPr>
      <w:r>
        <w:t xml:space="preserve">The next two blocks in the model, “trust” and “risk taking in the relationship’ refers to the notion that the degree to which the </w:t>
      </w:r>
      <w:proofErr w:type="spellStart"/>
      <w:r>
        <w:t>trustor</w:t>
      </w:r>
      <w:proofErr w:type="spellEnd"/>
      <w:r>
        <w:t xml:space="preserve"> gives his or her or its trust to the trustee is </w:t>
      </w:r>
      <w:r w:rsidR="009F319B">
        <w:t>manifested in</w:t>
      </w:r>
      <w:r>
        <w:t xml:space="preserve"> the willingness of the </w:t>
      </w:r>
      <w:proofErr w:type="spellStart"/>
      <w:r>
        <w:t>trustor</w:t>
      </w:r>
      <w:proofErr w:type="spellEnd"/>
      <w:r>
        <w:t xml:space="preserve"> to take the risk – in other words, to make themselves vulnerable to the trustee.</w:t>
      </w:r>
    </w:p>
    <w:p w:rsidR="00802F63" w:rsidRDefault="00802F63" w:rsidP="00B20B9C">
      <w:pPr>
        <w:widowControl/>
        <w:spacing w:after="200" w:line="276" w:lineRule="auto"/>
        <w:contextualSpacing/>
      </w:pPr>
    </w:p>
    <w:p w:rsidR="00802F63" w:rsidRDefault="00802F63" w:rsidP="00B20B9C">
      <w:pPr>
        <w:widowControl/>
        <w:spacing w:after="200" w:line="276" w:lineRule="auto"/>
        <w:contextualSpacing/>
      </w:pPr>
      <w:r>
        <w:t>The salon next discussed now the model might be interpreted in light of the political context.</w:t>
      </w:r>
    </w:p>
    <w:p w:rsidR="00802F63" w:rsidRDefault="00802F63" w:rsidP="00B20B9C">
      <w:pPr>
        <w:widowControl/>
        <w:spacing w:after="200" w:line="276" w:lineRule="auto"/>
        <w:contextualSpacing/>
      </w:pPr>
      <w:r>
        <w:t xml:space="preserve"> </w:t>
      </w:r>
    </w:p>
    <w:p w:rsidR="00465F98" w:rsidRDefault="007346F8" w:rsidP="00B20B9C">
      <w:pPr>
        <w:widowControl/>
        <w:spacing w:after="200" w:line="276" w:lineRule="auto"/>
        <w:contextualSpacing/>
      </w:pPr>
      <w:r>
        <w:t>The fi</w:t>
      </w:r>
      <w:r w:rsidR="009F319B">
        <w:t xml:space="preserve">rst major point members made revolved around the idea that </w:t>
      </w:r>
      <w:r w:rsidR="00465F98">
        <w:t>that trust is not i</w:t>
      </w:r>
      <w:r w:rsidR="001A144F">
        <w:t xml:space="preserve">nherently desirable.  </w:t>
      </w:r>
      <w:r w:rsidR="00802F63">
        <w:t>Only properly placed trust is</w:t>
      </w:r>
      <w:r w:rsidR="00B002DC">
        <w:t xml:space="preserve"> desirable.  It makes no sense, on other words, to try to enhance trust towards an entity (which could be an individual person or a group of persons or a political party or a political campaign) which is not trustworthy.  </w:t>
      </w:r>
      <w:r w:rsidR="00F86FAE">
        <w:t>Feely d</w:t>
      </w:r>
      <w:r w:rsidR="001A144F">
        <w:t>ro</w:t>
      </w:r>
      <w:r w:rsidR="00465F98">
        <w:t>ve home th</w:t>
      </w:r>
      <w:r w:rsidR="00004D8C">
        <w:t>e</w:t>
      </w:r>
      <w:r w:rsidR="00465F98">
        <w:t xml:space="preserve"> point, by </w:t>
      </w:r>
      <w:r w:rsidR="00F86FAE">
        <w:t xml:space="preserve">showing a TED talk given by Baroness </w:t>
      </w:r>
      <w:proofErr w:type="spellStart"/>
      <w:r w:rsidR="00F86FAE">
        <w:t>Onara</w:t>
      </w:r>
      <w:proofErr w:type="spellEnd"/>
      <w:r w:rsidR="00F86FAE">
        <w:t xml:space="preserve"> O’Neill who </w:t>
      </w:r>
      <w:r w:rsidR="008D0101">
        <w:t xml:space="preserve">used </w:t>
      </w:r>
      <w:r w:rsidR="00465F98">
        <w:t xml:space="preserve">the story of Bernie </w:t>
      </w:r>
      <w:proofErr w:type="spellStart"/>
      <w:r w:rsidR="00465F98">
        <w:t>Madoff</w:t>
      </w:r>
      <w:proofErr w:type="spellEnd"/>
      <w:r w:rsidR="00465F98">
        <w:t xml:space="preserve">, who made-off with the money of those who gave him their trust (and savings).  </w:t>
      </w:r>
      <w:r w:rsidR="00673100">
        <w:t>We mentioned other examples, and c</w:t>
      </w:r>
      <w:r w:rsidR="00465F98">
        <w:t>oncluded</w:t>
      </w:r>
      <w:r w:rsidR="00673100">
        <w:t xml:space="preserve"> that blind trust</w:t>
      </w:r>
      <w:r w:rsidR="00465F98">
        <w:t xml:space="preserve">, </w:t>
      </w:r>
      <w:r w:rsidR="00C97B45">
        <w:t>whether in a business partner or a political l</w:t>
      </w:r>
      <w:r w:rsidR="00004D8C">
        <w:t>eader, is not desirable.  B</w:t>
      </w:r>
      <w:r w:rsidR="00C97B45">
        <w:t>luntly</w:t>
      </w:r>
      <w:r w:rsidR="00004D8C">
        <w:t xml:space="preserve"> stated</w:t>
      </w:r>
      <w:r w:rsidR="00C97B45">
        <w:t xml:space="preserve">, </w:t>
      </w:r>
      <w:r w:rsidR="00465F98">
        <w:t>building trust for the sake of having more trust</w:t>
      </w:r>
      <w:r w:rsidR="00F86FAE">
        <w:t>, we concluded,</w:t>
      </w:r>
      <w:r w:rsidR="00465F98">
        <w:t xml:space="preserve"> is a stupid goal.</w:t>
      </w:r>
    </w:p>
    <w:p w:rsidR="00465F98" w:rsidRDefault="00465F98" w:rsidP="00B20B9C">
      <w:pPr>
        <w:widowControl/>
        <w:spacing w:after="200" w:line="276" w:lineRule="auto"/>
        <w:contextualSpacing/>
      </w:pPr>
    </w:p>
    <w:p w:rsidR="00417F2C" w:rsidRDefault="008D0101" w:rsidP="00B20B9C">
      <w:pPr>
        <w:widowControl/>
        <w:spacing w:after="200" w:line="276" w:lineRule="auto"/>
        <w:contextualSpacing/>
      </w:pPr>
      <w:r>
        <w:t xml:space="preserve">Members of the </w:t>
      </w:r>
      <w:r w:rsidRPr="008D0101">
        <w:rPr>
          <w:i/>
        </w:rPr>
        <w:t>Discourse</w:t>
      </w:r>
      <w:r w:rsidR="00417F2C">
        <w:t xml:space="preserve"> postulated, as a result, that campaigns could be better off by espousing the trustworthiness of a candidate</w:t>
      </w:r>
      <w:r>
        <w:t xml:space="preserve"> – assuming the candidate does indeed represent ability, benevolence, and integrity</w:t>
      </w:r>
      <w:proofErr w:type="gramStart"/>
      <w:r>
        <w:t>.</w:t>
      </w:r>
      <w:r w:rsidR="00417F2C">
        <w:t>.</w:t>
      </w:r>
      <w:proofErr w:type="gramEnd"/>
    </w:p>
    <w:p w:rsidR="008E19A8" w:rsidRDefault="008E19A8" w:rsidP="009F319B">
      <w:pPr>
        <w:widowControl/>
        <w:spacing w:after="200" w:line="276" w:lineRule="auto"/>
        <w:contextualSpacing/>
      </w:pPr>
    </w:p>
    <w:p w:rsidR="00465F98" w:rsidRDefault="00F9602A" w:rsidP="00B20B9C">
      <w:pPr>
        <w:widowControl/>
        <w:spacing w:after="200" w:line="276" w:lineRule="auto"/>
        <w:contextualSpacing/>
      </w:pPr>
      <w:r>
        <w:t>W</w:t>
      </w:r>
      <w:r w:rsidR="008E19A8">
        <w:t xml:space="preserve">e recognized </w:t>
      </w:r>
      <w:r>
        <w:t xml:space="preserve">also </w:t>
      </w:r>
      <w:r w:rsidR="008E19A8">
        <w:t>that t</w:t>
      </w:r>
      <w:r w:rsidR="00465F98">
        <w:t>r</w:t>
      </w:r>
      <w:r w:rsidR="008E19A8">
        <w:t>u</w:t>
      </w:r>
      <w:r w:rsidR="00465F98">
        <w:t xml:space="preserve">st is something that people </w:t>
      </w:r>
      <w:r w:rsidR="00C97B45">
        <w:t xml:space="preserve">or organizations </w:t>
      </w:r>
      <w:r w:rsidR="00465F98">
        <w:t>bestow</w:t>
      </w:r>
      <w:r w:rsidR="00C97B45">
        <w:t xml:space="preserve"> upon others; it is not something a person or organization can rightfully demand.  </w:t>
      </w:r>
      <w:r w:rsidR="00465F98">
        <w:t xml:space="preserve">The </w:t>
      </w:r>
      <w:r>
        <w:t xml:space="preserve">trust </w:t>
      </w:r>
      <w:r w:rsidR="00C97B45">
        <w:t xml:space="preserve">model </w:t>
      </w:r>
      <w:r w:rsidR="00465F98">
        <w:t xml:space="preserve">implies a relationship </w:t>
      </w:r>
      <w:r w:rsidR="00C97B45">
        <w:t>between a (prospective) trustee and a (prospective)</w:t>
      </w:r>
      <w:r w:rsidR="001A144F">
        <w:t xml:space="preserve"> “</w:t>
      </w:r>
      <w:proofErr w:type="spellStart"/>
      <w:r w:rsidR="001A144F">
        <w:t>trustor</w:t>
      </w:r>
      <w:proofErr w:type="spellEnd"/>
      <w:r>
        <w:t>,</w:t>
      </w:r>
      <w:r w:rsidR="001A144F">
        <w:t>”</w:t>
      </w:r>
      <w:r>
        <w:t xml:space="preserve"> whereby </w:t>
      </w:r>
      <w:r w:rsidR="001A144F">
        <w:t xml:space="preserve">the prospective trustee must </w:t>
      </w:r>
      <w:r>
        <w:t xml:space="preserve">present </w:t>
      </w:r>
      <w:r w:rsidR="001A144F">
        <w:t xml:space="preserve">reason </w:t>
      </w:r>
      <w:r>
        <w:t xml:space="preserve">for </w:t>
      </w:r>
      <w:r w:rsidR="001A144F">
        <w:t xml:space="preserve">the prospective </w:t>
      </w:r>
      <w:proofErr w:type="spellStart"/>
      <w:r w:rsidR="001A144F">
        <w:t>trustor</w:t>
      </w:r>
      <w:proofErr w:type="spellEnd"/>
      <w:r w:rsidR="001A144F">
        <w:t xml:space="preserve"> to </w:t>
      </w:r>
      <w:r>
        <w:t>bestow her or his trust.  The reason</w:t>
      </w:r>
      <w:r w:rsidR="00987702">
        <w:t xml:space="preserve"> for a (prospective) </w:t>
      </w:r>
      <w:proofErr w:type="spellStart"/>
      <w:r w:rsidR="00987702">
        <w:t>trustor</w:t>
      </w:r>
      <w:proofErr w:type="spellEnd"/>
      <w:r w:rsidR="00987702">
        <w:t xml:space="preserve"> to </w:t>
      </w:r>
      <w:r w:rsidR="005A5775">
        <w:t>trust</w:t>
      </w:r>
      <w:r w:rsidR="00987702">
        <w:t xml:space="preserve"> is</w:t>
      </w:r>
      <w:r>
        <w:t>, in summary</w:t>
      </w:r>
      <w:r w:rsidR="00004D8C">
        <w:t>,</w:t>
      </w:r>
      <w:r>
        <w:t xml:space="preserve"> </w:t>
      </w:r>
      <w:r w:rsidR="005A5775">
        <w:t>found in the (prospective) trustee’s trustworthiness</w:t>
      </w:r>
      <w:r w:rsidR="009F319B">
        <w:t xml:space="preserve"> influenced by the perceptions that they developed.</w:t>
      </w:r>
      <w:r w:rsidR="007346F8">
        <w:t xml:space="preserve">  Furthermore, the salon participants concluded that there would need to be a way to influence the electorate’s perceptions.</w:t>
      </w:r>
    </w:p>
    <w:p w:rsidR="00465F98" w:rsidRDefault="00465F98" w:rsidP="00B20B9C">
      <w:pPr>
        <w:widowControl/>
        <w:spacing w:after="200" w:line="276" w:lineRule="auto"/>
        <w:contextualSpacing/>
      </w:pPr>
    </w:p>
    <w:p w:rsidR="00673100" w:rsidRDefault="00B002DC" w:rsidP="00B20B9C">
      <w:pPr>
        <w:widowControl/>
        <w:spacing w:after="200" w:line="276" w:lineRule="auto"/>
        <w:contextualSpacing/>
      </w:pPr>
      <w:r>
        <w:lastRenderedPageBreak/>
        <w:t>Thus, it appeared clear</w:t>
      </w:r>
      <w:r w:rsidR="00F86FAE">
        <w:t xml:space="preserve"> to most participants that a political candidate and a political ca</w:t>
      </w:r>
      <w:r w:rsidR="009F319B">
        <w:t xml:space="preserve">mpaign </w:t>
      </w:r>
      <w:r w:rsidR="00F86FAE">
        <w:t xml:space="preserve">could reasonably aim to increase </w:t>
      </w:r>
      <w:r w:rsidR="008D0101">
        <w:t xml:space="preserve">the trust </w:t>
      </w:r>
      <w:r w:rsidR="00F86FAE">
        <w:t xml:space="preserve">that the electorate </w:t>
      </w:r>
      <w:r w:rsidR="008D0101">
        <w:t xml:space="preserve">has in a candidate.  </w:t>
      </w:r>
      <w:r w:rsidR="00673100">
        <w:t>And finally, we recognized – although we didn’t require much discussion – that having the trust of constituents would be helpful to a candidate or to an organization</w:t>
      </w:r>
      <w:r w:rsidR="005A5775">
        <w:t xml:space="preserve"> to get things done</w:t>
      </w:r>
      <w:r w:rsidR="00673100">
        <w:t xml:space="preserve">.  </w:t>
      </w:r>
      <w:r w:rsidR="005A5775">
        <w:t xml:space="preserve">Having the trust of others is empowering.  </w:t>
      </w:r>
      <w:r w:rsidR="00673100">
        <w:t xml:space="preserve">Having the trust of many bestowed upon a political entity would likely aid that entity in </w:t>
      </w:r>
      <w:r w:rsidR="00802ABF">
        <w:t xml:space="preserve">achieving </w:t>
      </w:r>
      <w:r w:rsidR="00673100">
        <w:t xml:space="preserve">political success.  </w:t>
      </w:r>
    </w:p>
    <w:p w:rsidR="00673100" w:rsidRDefault="00673100" w:rsidP="00B20B9C">
      <w:pPr>
        <w:widowControl/>
        <w:spacing w:after="200" w:line="276" w:lineRule="auto"/>
        <w:contextualSpacing/>
      </w:pPr>
    </w:p>
    <w:p w:rsidR="00F9602A" w:rsidRDefault="008E19A8" w:rsidP="00F9602A">
      <w:pPr>
        <w:widowControl/>
        <w:spacing w:after="200" w:line="276" w:lineRule="auto"/>
        <w:contextualSpacing/>
      </w:pPr>
      <w:r>
        <w:t xml:space="preserve">The discussion helped us to </w:t>
      </w:r>
      <w:r w:rsidR="00987702">
        <w:t xml:space="preserve">acknowledge (and probably reach consensus on) </w:t>
      </w:r>
      <w:r>
        <w:t>three ideas.</w:t>
      </w:r>
    </w:p>
    <w:p w:rsidR="00F9602A" w:rsidRDefault="008E19A8" w:rsidP="008E19A8">
      <w:pPr>
        <w:pStyle w:val="ListParagraph"/>
        <w:widowControl/>
        <w:numPr>
          <w:ilvl w:val="0"/>
          <w:numId w:val="11"/>
        </w:numPr>
        <w:spacing w:after="200" w:line="276" w:lineRule="auto"/>
        <w:contextualSpacing/>
      </w:pPr>
      <w:r>
        <w:t xml:space="preserve">We ought </w:t>
      </w:r>
      <w:proofErr w:type="gramStart"/>
      <w:r>
        <w:t>not</w:t>
      </w:r>
      <w:proofErr w:type="gramEnd"/>
      <w:r>
        <w:t xml:space="preserve"> desire to trust more per se.</w:t>
      </w:r>
    </w:p>
    <w:p w:rsidR="008E19A8" w:rsidRDefault="008E19A8" w:rsidP="008E19A8">
      <w:pPr>
        <w:pStyle w:val="ListParagraph"/>
        <w:widowControl/>
        <w:numPr>
          <w:ilvl w:val="0"/>
          <w:numId w:val="11"/>
        </w:numPr>
        <w:spacing w:after="200" w:line="276" w:lineRule="auto"/>
        <w:contextualSpacing/>
      </w:pPr>
      <w:r>
        <w:t>We ought to direct our trust intelligently, to those whom are trustworthy.</w:t>
      </w:r>
    </w:p>
    <w:p w:rsidR="00465F98" w:rsidRDefault="00004D8C" w:rsidP="00F9602A">
      <w:pPr>
        <w:pStyle w:val="ListParagraph"/>
        <w:widowControl/>
        <w:numPr>
          <w:ilvl w:val="0"/>
          <w:numId w:val="11"/>
        </w:numPr>
        <w:spacing w:after="200" w:line="276" w:lineRule="auto"/>
        <w:contextualSpacing/>
      </w:pPr>
      <w:r>
        <w:t xml:space="preserve">Political </w:t>
      </w:r>
      <w:proofErr w:type="gramStart"/>
      <w:r>
        <w:t>entities,</w:t>
      </w:r>
      <w:proofErr w:type="gramEnd"/>
      <w:r>
        <w:t xml:space="preserve"> </w:t>
      </w:r>
      <w:r w:rsidR="00987702">
        <w:t xml:space="preserve">cannot demand trust, but they can and ought to act to </w:t>
      </w:r>
      <w:r>
        <w:t>build a</w:t>
      </w:r>
      <w:r w:rsidR="00987702">
        <w:t xml:space="preserve">nd maintain </w:t>
      </w:r>
      <w:r>
        <w:t>trustworthiness</w:t>
      </w:r>
      <w:r w:rsidR="00987702">
        <w:t xml:space="preserve"> </w:t>
      </w:r>
      <w:r w:rsidR="00802ABF">
        <w:t xml:space="preserve">and ensure that their trustworthiness is known to all possible </w:t>
      </w:r>
      <w:r w:rsidR="00987702">
        <w:t>constituents</w:t>
      </w:r>
      <w:r w:rsidR="00802ABF">
        <w:t xml:space="preserve"> or, in other words, </w:t>
      </w:r>
      <w:r w:rsidR="00987702">
        <w:t xml:space="preserve">prospective </w:t>
      </w:r>
      <w:proofErr w:type="spellStart"/>
      <w:r w:rsidR="00802ABF">
        <w:t>trustors</w:t>
      </w:r>
      <w:proofErr w:type="spellEnd"/>
      <w:r w:rsidR="00802ABF">
        <w:t>.</w:t>
      </w:r>
      <w:r w:rsidR="00673100">
        <w:t xml:space="preserve"> </w:t>
      </w:r>
    </w:p>
    <w:p w:rsidR="00B20B9C" w:rsidRDefault="0087384B" w:rsidP="00B20B9C">
      <w:pPr>
        <w:widowControl/>
        <w:spacing w:after="200" w:line="276" w:lineRule="auto"/>
        <w:contextualSpacing/>
      </w:pPr>
      <w:proofErr w:type="gramStart"/>
      <w:r>
        <w:t xml:space="preserve">The </w:t>
      </w:r>
      <w:r w:rsidR="008D0101">
        <w:t xml:space="preserve">March 2017 </w:t>
      </w:r>
      <w:r w:rsidR="008D0101" w:rsidRPr="008D0101">
        <w:rPr>
          <w:i/>
        </w:rPr>
        <w:t>Discourse</w:t>
      </w:r>
      <w:r w:rsidR="008D0101">
        <w:t xml:space="preserve"> will </w:t>
      </w:r>
      <w:r w:rsidR="00987702">
        <w:t xml:space="preserve">concentrate on </w:t>
      </w:r>
      <w:r w:rsidR="008D0101">
        <w:t>discussing “benevolence.”</w:t>
      </w:r>
      <w:proofErr w:type="gramEnd"/>
      <w:r w:rsidR="008D0101">
        <w:t xml:space="preserve">  </w:t>
      </w:r>
      <w:r w:rsidR="00D66E93" w:rsidRPr="00D66E93">
        <w:rPr>
          <w:i/>
        </w:rPr>
        <w:t xml:space="preserve">What </w:t>
      </w:r>
      <w:proofErr w:type="gramStart"/>
      <w:r w:rsidR="00D66E93" w:rsidRPr="00D66E93">
        <w:rPr>
          <w:i/>
        </w:rPr>
        <w:t>ought</w:t>
      </w:r>
      <w:proofErr w:type="gramEnd"/>
      <w:r w:rsidR="00D66E93" w:rsidRPr="00D66E93">
        <w:rPr>
          <w:i/>
        </w:rPr>
        <w:t xml:space="preserve"> be the values of the major political parties, and how ought they be communicated and </w:t>
      </w:r>
      <w:proofErr w:type="spellStart"/>
      <w:r w:rsidR="00D66E93" w:rsidRPr="00D66E93">
        <w:rPr>
          <w:i/>
        </w:rPr>
        <w:t>operationalized</w:t>
      </w:r>
      <w:proofErr w:type="spellEnd"/>
      <w:r w:rsidR="00D66E93" w:rsidRPr="00D66E93">
        <w:rPr>
          <w:i/>
        </w:rPr>
        <w:t>?</w:t>
      </w:r>
    </w:p>
    <w:p w:rsidR="005A2209" w:rsidRDefault="005A2209" w:rsidP="00B20B9C">
      <w:pPr>
        <w:widowControl/>
        <w:spacing w:after="200" w:line="276" w:lineRule="auto"/>
        <w:contextualSpacing/>
      </w:pPr>
    </w:p>
    <w:sectPr w:rsidR="005A2209" w:rsidSect="00C001E5">
      <w:headerReference w:type="default" r:id="rId8"/>
      <w:footerReference w:type="default" r:id="rId9"/>
      <w:headerReference w:type="first" r:id="rId10"/>
      <w:footerReference w:type="first" r:id="rId11"/>
      <w:pgSz w:w="12240" w:h="15840"/>
      <w:pgMar w:top="1380" w:right="1380" w:bottom="280" w:left="1320" w:header="144"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AD7" w:rsidRDefault="003D2AD7" w:rsidP="00E03367">
      <w:r>
        <w:separator/>
      </w:r>
    </w:p>
  </w:endnote>
  <w:endnote w:type="continuationSeparator" w:id="0">
    <w:p w:rsidR="003D2AD7" w:rsidRDefault="003D2AD7" w:rsidP="00E03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60" w:rsidRPr="00E03367" w:rsidRDefault="0004523D" w:rsidP="00C001E5">
    <w:pPr>
      <w:pStyle w:val="Footer"/>
      <w:spacing w:before="240"/>
      <w:rPr>
        <w:sz w:val="20"/>
        <w:szCs w:val="20"/>
      </w:rPr>
    </w:pPr>
    <w:r w:rsidRPr="00E03367">
      <w:rPr>
        <w:sz w:val="20"/>
        <w:szCs w:val="20"/>
      </w:rPr>
      <w:t>© 201</w:t>
    </w:r>
    <w:r w:rsidR="00225A3C">
      <w:rPr>
        <w:sz w:val="20"/>
        <w:szCs w:val="20"/>
      </w:rPr>
      <w:t>7</w:t>
    </w:r>
    <w:r w:rsidRPr="00E03367">
      <w:rPr>
        <w:sz w:val="20"/>
        <w:szCs w:val="20"/>
      </w:rPr>
      <w:t xml:space="preserve"> Matthew S.A. Feely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E5" w:rsidRPr="00883E5B" w:rsidRDefault="00A75CE9" w:rsidP="00883E5B">
    <w:pPr>
      <w:pStyle w:val="Footer"/>
      <w:spacing w:before="240"/>
      <w:rPr>
        <w:sz w:val="20"/>
        <w:szCs w:val="20"/>
      </w:rPr>
    </w:pPr>
    <w:r>
      <w:rPr>
        <w:sz w:val="20"/>
        <w:szCs w:val="20"/>
      </w:rPr>
      <w:t>© 2017</w:t>
    </w:r>
    <w:r w:rsidR="00C001E5" w:rsidRPr="00E03367">
      <w:rPr>
        <w:sz w:val="20"/>
        <w:szCs w:val="20"/>
      </w:rPr>
      <w:t xml:space="preserve"> Matthew S.A. Feely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AD7" w:rsidRDefault="003D2AD7" w:rsidP="00E03367">
      <w:r>
        <w:separator/>
      </w:r>
    </w:p>
  </w:footnote>
  <w:footnote w:type="continuationSeparator" w:id="0">
    <w:p w:rsidR="003D2AD7" w:rsidRDefault="003D2AD7" w:rsidP="00E03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A1" w:rsidRPr="00E03367" w:rsidRDefault="0077739D" w:rsidP="00C825CC">
    <w:pPr>
      <w:pStyle w:val="Header"/>
      <w:spacing w:before="120"/>
      <w:jc w:val="right"/>
      <w:rPr>
        <w:sz w:val="20"/>
        <w:szCs w:val="20"/>
      </w:rPr>
    </w:pPr>
    <w:sdt>
      <w:sdtPr>
        <w:rPr>
          <w:sz w:val="20"/>
          <w:szCs w:val="20"/>
        </w:rPr>
        <w:id w:val="-1604092930"/>
        <w:docPartObj>
          <w:docPartGallery w:val="Page Numbers (Margins)"/>
          <w:docPartUnique/>
        </w:docPartObj>
      </w:sdtPr>
      <w:sdtContent>
        <w:r>
          <w:rPr>
            <w:noProof/>
            <w:sz w:val="20"/>
            <w:szCs w:val="20"/>
            <w:lang w:eastAsia="zh-TW"/>
          </w:rPr>
          <w:pict>
            <v:rect id="_x0000_s11267" style="position:absolute;left:0;text-align:left;margin-left:0;margin-top:0;width:40.9pt;height:171.9pt;z-index:251662336;mso-position-horizontal:center;mso-position-horizontal-relative:left-margin-area;mso-position-vertical:bottom;mso-position-vertical-relative:margin;v-text-anchor:middle" o:allowincell="f" filled="f" stroked="f">
              <v:textbox style="layout-flow:vertical;mso-layout-flow-alt:bottom-to-top;mso-next-textbox:#_x0000_s11267;mso-fit-shape-to-text:t">
                <w:txbxContent>
                  <w:p w:rsidR="00C825CC" w:rsidRDefault="00C825CC">
                    <w:pPr>
                      <w:pStyle w:val="Footer"/>
                      <w:rPr>
                        <w:rFonts w:asciiTheme="majorHAnsi" w:hAnsiTheme="majorHAnsi"/>
                        <w:sz w:val="44"/>
                        <w:szCs w:val="44"/>
                      </w:rPr>
                    </w:pPr>
                    <w:r>
                      <w:rPr>
                        <w:rFonts w:asciiTheme="majorHAnsi" w:hAnsiTheme="majorHAnsi"/>
                      </w:rPr>
                      <w:t>Page</w:t>
                    </w:r>
                    <w:fldSimple w:instr=" PAGE    \* MERGEFORMAT ">
                      <w:r w:rsidR="0009232E" w:rsidRPr="0009232E">
                        <w:rPr>
                          <w:rFonts w:asciiTheme="majorHAnsi" w:hAnsiTheme="majorHAnsi"/>
                          <w:noProof/>
                          <w:sz w:val="44"/>
                          <w:szCs w:val="44"/>
                        </w:rPr>
                        <w:t>2</w:t>
                      </w:r>
                    </w:fldSimple>
                  </w:p>
                </w:txbxContent>
              </v:textbox>
              <w10:wrap anchorx="margin" anchory="margin"/>
            </v:rect>
          </w:pict>
        </w:r>
      </w:sdtContent>
    </w:sdt>
    <w:r w:rsidR="00505E60" w:rsidRPr="00E03367">
      <w:rPr>
        <w:sz w:val="20"/>
        <w:szCs w:val="20"/>
      </w:rPr>
      <w:t>Matthew S.A. Feely, Ph.D.</w:t>
    </w:r>
  </w:p>
  <w:p w:rsidR="00505E60" w:rsidRPr="00E03367" w:rsidRDefault="00505E60" w:rsidP="00E03367">
    <w:pPr>
      <w:pStyle w:val="Header"/>
      <w:jc w:val="right"/>
      <w:rPr>
        <w:sz w:val="20"/>
        <w:szCs w:val="20"/>
      </w:rPr>
    </w:pPr>
    <w:r w:rsidRPr="00E03367">
      <w:rPr>
        <w:sz w:val="20"/>
        <w:szCs w:val="20"/>
      </w:rPr>
      <w:t>Captain, USN (RET)</w:t>
    </w:r>
  </w:p>
  <w:p w:rsidR="00D044A1" w:rsidRPr="00C001E5" w:rsidRDefault="008D0101" w:rsidP="008D0101">
    <w:pPr>
      <w:pStyle w:val="Header"/>
      <w:jc w:val="right"/>
      <w:rPr>
        <w:b/>
      </w:rPr>
    </w:pPr>
    <w:r>
      <w:rPr>
        <w:sz w:val="20"/>
        <w:szCs w:val="20"/>
      </w:rPr>
      <w:t xml:space="preserve">Alexandria, VA </w:t>
    </w:r>
    <w:r w:rsidRPr="00682115">
      <w:rPr>
        <w:i/>
        <w:sz w:val="20"/>
        <w:szCs w:val="20"/>
      </w:rPr>
      <w:t>Discourse</w:t>
    </w:r>
    <w:r>
      <w:rPr>
        <w:sz w:val="20"/>
        <w:szCs w:val="20"/>
      </w:rPr>
      <w:t xml:space="preserve"> Session, January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E5" w:rsidRPr="00E03367" w:rsidRDefault="00F86FAE" w:rsidP="00C825CC">
    <w:pPr>
      <w:pStyle w:val="Header"/>
      <w:spacing w:before="120"/>
      <w:jc w:val="right"/>
      <w:rPr>
        <w:sz w:val="20"/>
        <w:szCs w:val="20"/>
      </w:rPr>
    </w:pPr>
    <w:r>
      <w:rPr>
        <w:sz w:val="20"/>
        <w:szCs w:val="20"/>
      </w:rPr>
      <w:t xml:space="preserve"> </w:t>
    </w:r>
    <w:sdt>
      <w:sdtPr>
        <w:rPr>
          <w:sz w:val="20"/>
          <w:szCs w:val="20"/>
        </w:rPr>
        <w:id w:val="-1604092931"/>
        <w:docPartObj>
          <w:docPartGallery w:val="Page Numbers (Margins)"/>
          <w:docPartUnique/>
        </w:docPartObj>
      </w:sdtPr>
      <w:sdtContent>
        <w:r w:rsidR="0077739D">
          <w:rPr>
            <w:noProof/>
            <w:sz w:val="20"/>
            <w:szCs w:val="20"/>
            <w:lang w:eastAsia="zh-TW"/>
          </w:rPr>
          <w:pict>
            <v:rect id="_x0000_s11266" style="position:absolute;left:0;text-align:left;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11266;mso-fit-shape-to-text:t">
                <w:txbxContent>
                  <w:p w:rsidR="00C825CC" w:rsidRDefault="00C825CC">
                    <w:pPr>
                      <w:pStyle w:val="Footer"/>
                      <w:rPr>
                        <w:rFonts w:asciiTheme="majorHAnsi" w:hAnsiTheme="majorHAnsi"/>
                        <w:sz w:val="44"/>
                        <w:szCs w:val="44"/>
                      </w:rPr>
                    </w:pPr>
                    <w:r>
                      <w:rPr>
                        <w:rFonts w:asciiTheme="majorHAnsi" w:hAnsiTheme="majorHAnsi"/>
                      </w:rPr>
                      <w:t>Page</w:t>
                    </w:r>
                    <w:fldSimple w:instr=" PAGE    \* MERGEFORMAT ">
                      <w:r w:rsidR="0009232E" w:rsidRPr="0009232E">
                        <w:rPr>
                          <w:rFonts w:asciiTheme="majorHAnsi" w:hAnsiTheme="majorHAnsi"/>
                          <w:noProof/>
                          <w:sz w:val="44"/>
                          <w:szCs w:val="44"/>
                        </w:rPr>
                        <w:t>1</w:t>
                      </w:r>
                    </w:fldSimple>
                  </w:p>
                </w:txbxContent>
              </v:textbox>
              <w10:wrap anchorx="margin" anchory="margin"/>
            </v:rect>
          </w:pict>
        </w:r>
      </w:sdtContent>
    </w:sdt>
    <w:r w:rsidR="00C001E5" w:rsidRPr="00E03367">
      <w:rPr>
        <w:sz w:val="20"/>
        <w:szCs w:val="20"/>
      </w:rPr>
      <w:t>Matthew S.A. Feely, Ph.D.</w:t>
    </w:r>
  </w:p>
  <w:p w:rsidR="00C001E5" w:rsidRDefault="00C001E5" w:rsidP="00C001E5">
    <w:pPr>
      <w:pStyle w:val="Header"/>
      <w:jc w:val="right"/>
      <w:rPr>
        <w:sz w:val="20"/>
        <w:szCs w:val="20"/>
      </w:rPr>
    </w:pPr>
    <w:r w:rsidRPr="00E03367">
      <w:rPr>
        <w:sz w:val="20"/>
        <w:szCs w:val="20"/>
      </w:rPr>
      <w:t>Captain, USN (RET)</w:t>
    </w:r>
  </w:p>
  <w:p w:rsidR="00AE0E39" w:rsidRPr="00E03367" w:rsidRDefault="00B002DC" w:rsidP="00C001E5">
    <w:pPr>
      <w:pStyle w:val="Header"/>
      <w:jc w:val="right"/>
      <w:rPr>
        <w:sz w:val="20"/>
        <w:szCs w:val="20"/>
      </w:rPr>
    </w:pPr>
    <w:r>
      <w:rPr>
        <w:sz w:val="20"/>
        <w:szCs w:val="20"/>
      </w:rPr>
      <w:t>Alexandria</w:t>
    </w:r>
    <w:r w:rsidR="001B0633">
      <w:rPr>
        <w:sz w:val="20"/>
        <w:szCs w:val="20"/>
      </w:rPr>
      <w:t>,</w:t>
    </w:r>
    <w:r>
      <w:rPr>
        <w:sz w:val="20"/>
        <w:szCs w:val="20"/>
      </w:rPr>
      <w:t xml:space="preserve"> VA </w:t>
    </w:r>
    <w:r w:rsidR="00682115" w:rsidRPr="00682115">
      <w:rPr>
        <w:i/>
        <w:sz w:val="20"/>
        <w:szCs w:val="20"/>
      </w:rPr>
      <w:t>Discourse</w:t>
    </w:r>
    <w:r w:rsidR="00682115">
      <w:rPr>
        <w:sz w:val="20"/>
        <w:szCs w:val="20"/>
      </w:rPr>
      <w:t xml:space="preserve"> Session</w:t>
    </w:r>
    <w:r w:rsidR="00AE0E39">
      <w:rPr>
        <w:sz w:val="20"/>
        <w:szCs w:val="20"/>
      </w:rPr>
      <w:t xml:space="preserve">, </w:t>
    </w:r>
    <w:r>
      <w:rPr>
        <w:sz w:val="20"/>
        <w:szCs w:val="20"/>
      </w:rPr>
      <w:t xml:space="preserve">January </w:t>
    </w:r>
    <w:r w:rsidR="00AE0E39">
      <w:rPr>
        <w:sz w:val="20"/>
        <w:szCs w:val="20"/>
      </w:rPr>
      <w:t>2017</w:t>
    </w:r>
  </w:p>
  <w:p w:rsidR="00C001E5" w:rsidRDefault="00C001E5" w:rsidP="00C001E5">
    <w:pPr>
      <w:pStyle w:val="Header"/>
    </w:pPr>
  </w:p>
  <w:p w:rsidR="00C001E5" w:rsidRPr="00F86FAE" w:rsidRDefault="00F86FAE" w:rsidP="00F86FAE">
    <w:pPr>
      <w:pStyle w:val="Header"/>
      <w:jc w:val="center"/>
      <w:rPr>
        <w:b/>
        <w:sz w:val="28"/>
        <w:szCs w:val="28"/>
      </w:rPr>
    </w:pPr>
    <w:proofErr w:type="spellStart"/>
    <w:r w:rsidRPr="00F86FAE">
      <w:rPr>
        <w:b/>
        <w:sz w:val="28"/>
        <w:szCs w:val="28"/>
      </w:rPr>
      <w:t>Rapporteur’s</w:t>
    </w:r>
    <w:proofErr w:type="spellEnd"/>
    <w:r w:rsidRPr="00F86FAE">
      <w:rPr>
        <w:b/>
        <w:sz w:val="28"/>
        <w:szCs w:val="28"/>
      </w:rPr>
      <w:t xml:space="preserve"> Report re: What Does it Mean to “TRUST?”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E9E"/>
    <w:multiLevelType w:val="hybridMultilevel"/>
    <w:tmpl w:val="C25C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159D4"/>
    <w:multiLevelType w:val="hybridMultilevel"/>
    <w:tmpl w:val="255A3E8C"/>
    <w:lvl w:ilvl="0" w:tplc="3DB48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E0028"/>
    <w:multiLevelType w:val="hybridMultilevel"/>
    <w:tmpl w:val="449A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803BB"/>
    <w:multiLevelType w:val="hybridMultilevel"/>
    <w:tmpl w:val="B936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DE0618"/>
    <w:multiLevelType w:val="hybridMultilevel"/>
    <w:tmpl w:val="C980A7D0"/>
    <w:lvl w:ilvl="0" w:tplc="96BAF822">
      <w:start w:val="1"/>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53EE0D19"/>
    <w:multiLevelType w:val="hybridMultilevel"/>
    <w:tmpl w:val="9A0A0EA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742558"/>
    <w:multiLevelType w:val="hybridMultilevel"/>
    <w:tmpl w:val="8F44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997AE5"/>
    <w:multiLevelType w:val="hybridMultilevel"/>
    <w:tmpl w:val="B066D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D2BD2"/>
    <w:multiLevelType w:val="hybridMultilevel"/>
    <w:tmpl w:val="A6EE8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9638B2"/>
    <w:multiLevelType w:val="hybridMultilevel"/>
    <w:tmpl w:val="D01421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6D0C25D6"/>
    <w:multiLevelType w:val="hybridMultilevel"/>
    <w:tmpl w:val="76DAF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3606C5"/>
    <w:multiLevelType w:val="hybridMultilevel"/>
    <w:tmpl w:val="BA4EE5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8"/>
  </w:num>
  <w:num w:numId="2">
    <w:abstractNumId w:val="10"/>
  </w:num>
  <w:num w:numId="3">
    <w:abstractNumId w:val="5"/>
  </w:num>
  <w:num w:numId="4">
    <w:abstractNumId w:val="9"/>
  </w:num>
  <w:num w:numId="5">
    <w:abstractNumId w:val="7"/>
  </w:num>
  <w:num w:numId="6">
    <w:abstractNumId w:val="2"/>
  </w:num>
  <w:num w:numId="7">
    <w:abstractNumId w:val="0"/>
  </w:num>
  <w:num w:numId="8">
    <w:abstractNumId w:val="6"/>
  </w:num>
  <w:num w:numId="9">
    <w:abstractNumId w:val="1"/>
  </w:num>
  <w:num w:numId="10">
    <w:abstractNumId w:val="4"/>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0722"/>
    <o:shapelayout v:ext="edit">
      <o:idmap v:ext="edit" data="11"/>
    </o:shapelayout>
  </w:hdrShapeDefaults>
  <w:footnotePr>
    <w:footnote w:id="-1"/>
    <w:footnote w:id="0"/>
  </w:footnotePr>
  <w:endnotePr>
    <w:endnote w:id="-1"/>
    <w:endnote w:id="0"/>
  </w:endnotePr>
  <w:compat>
    <w:ulTrailSpace/>
  </w:compat>
  <w:rsids>
    <w:rsidRoot w:val="00650678"/>
    <w:rsid w:val="00004D8C"/>
    <w:rsid w:val="0001245C"/>
    <w:rsid w:val="0004523D"/>
    <w:rsid w:val="00052476"/>
    <w:rsid w:val="00066ED0"/>
    <w:rsid w:val="000919BA"/>
    <w:rsid w:val="0009232E"/>
    <w:rsid w:val="000A289F"/>
    <w:rsid w:val="000B28A7"/>
    <w:rsid w:val="000F0557"/>
    <w:rsid w:val="0012098D"/>
    <w:rsid w:val="00160EF9"/>
    <w:rsid w:val="00187268"/>
    <w:rsid w:val="001A144F"/>
    <w:rsid w:val="001B0633"/>
    <w:rsid w:val="001B138E"/>
    <w:rsid w:val="001C3F47"/>
    <w:rsid w:val="001F3B6B"/>
    <w:rsid w:val="00225A3C"/>
    <w:rsid w:val="00256DA7"/>
    <w:rsid w:val="00261892"/>
    <w:rsid w:val="00273AE7"/>
    <w:rsid w:val="00274F1D"/>
    <w:rsid w:val="00283E5C"/>
    <w:rsid w:val="002F5BFB"/>
    <w:rsid w:val="00300B1B"/>
    <w:rsid w:val="00330CA2"/>
    <w:rsid w:val="00343BE1"/>
    <w:rsid w:val="00366E61"/>
    <w:rsid w:val="00385E38"/>
    <w:rsid w:val="003D01C9"/>
    <w:rsid w:val="003D2AD7"/>
    <w:rsid w:val="003E154E"/>
    <w:rsid w:val="003F3916"/>
    <w:rsid w:val="00417F2C"/>
    <w:rsid w:val="004211DE"/>
    <w:rsid w:val="00464595"/>
    <w:rsid w:val="00465F98"/>
    <w:rsid w:val="004B54F8"/>
    <w:rsid w:val="004E674E"/>
    <w:rsid w:val="004F2DD8"/>
    <w:rsid w:val="00501449"/>
    <w:rsid w:val="00505E60"/>
    <w:rsid w:val="00511C22"/>
    <w:rsid w:val="0052173B"/>
    <w:rsid w:val="0052751C"/>
    <w:rsid w:val="00530D2E"/>
    <w:rsid w:val="005322C9"/>
    <w:rsid w:val="00536088"/>
    <w:rsid w:val="00550645"/>
    <w:rsid w:val="00566EEB"/>
    <w:rsid w:val="00570A54"/>
    <w:rsid w:val="005752FB"/>
    <w:rsid w:val="0059333D"/>
    <w:rsid w:val="005A2209"/>
    <w:rsid w:val="005A5775"/>
    <w:rsid w:val="005A79D4"/>
    <w:rsid w:val="005B5C3E"/>
    <w:rsid w:val="005E6B95"/>
    <w:rsid w:val="005F674A"/>
    <w:rsid w:val="00600C0E"/>
    <w:rsid w:val="00610E50"/>
    <w:rsid w:val="00614362"/>
    <w:rsid w:val="0061775A"/>
    <w:rsid w:val="00650678"/>
    <w:rsid w:val="00671411"/>
    <w:rsid w:val="00673100"/>
    <w:rsid w:val="00682115"/>
    <w:rsid w:val="006D15FF"/>
    <w:rsid w:val="006D4898"/>
    <w:rsid w:val="00714D25"/>
    <w:rsid w:val="00722A72"/>
    <w:rsid w:val="007315AF"/>
    <w:rsid w:val="007346F8"/>
    <w:rsid w:val="007766E3"/>
    <w:rsid w:val="0077739D"/>
    <w:rsid w:val="007C128D"/>
    <w:rsid w:val="007C63AC"/>
    <w:rsid w:val="007D262B"/>
    <w:rsid w:val="007F0824"/>
    <w:rsid w:val="007F0AF5"/>
    <w:rsid w:val="007F3B8D"/>
    <w:rsid w:val="007F591E"/>
    <w:rsid w:val="00802ABF"/>
    <w:rsid w:val="00802F63"/>
    <w:rsid w:val="0085015F"/>
    <w:rsid w:val="008651FB"/>
    <w:rsid w:val="0087384B"/>
    <w:rsid w:val="00883E5B"/>
    <w:rsid w:val="008D0101"/>
    <w:rsid w:val="008E19A8"/>
    <w:rsid w:val="008E3B0A"/>
    <w:rsid w:val="00914436"/>
    <w:rsid w:val="00933150"/>
    <w:rsid w:val="009352D5"/>
    <w:rsid w:val="0095520D"/>
    <w:rsid w:val="009859A3"/>
    <w:rsid w:val="00987702"/>
    <w:rsid w:val="009A786E"/>
    <w:rsid w:val="009C2B4C"/>
    <w:rsid w:val="009F319B"/>
    <w:rsid w:val="009F4056"/>
    <w:rsid w:val="00A31515"/>
    <w:rsid w:val="00A3438A"/>
    <w:rsid w:val="00A441E9"/>
    <w:rsid w:val="00A56C60"/>
    <w:rsid w:val="00A624EB"/>
    <w:rsid w:val="00A642BD"/>
    <w:rsid w:val="00A75CE9"/>
    <w:rsid w:val="00AE0E39"/>
    <w:rsid w:val="00B002DC"/>
    <w:rsid w:val="00B039A1"/>
    <w:rsid w:val="00B20B9C"/>
    <w:rsid w:val="00B243F3"/>
    <w:rsid w:val="00B653DB"/>
    <w:rsid w:val="00B71793"/>
    <w:rsid w:val="00B75342"/>
    <w:rsid w:val="00B7795F"/>
    <w:rsid w:val="00B94668"/>
    <w:rsid w:val="00BC100F"/>
    <w:rsid w:val="00BD6418"/>
    <w:rsid w:val="00C001E5"/>
    <w:rsid w:val="00C03AC4"/>
    <w:rsid w:val="00C24BE7"/>
    <w:rsid w:val="00C34887"/>
    <w:rsid w:val="00C825CC"/>
    <w:rsid w:val="00C97B45"/>
    <w:rsid w:val="00CB4A65"/>
    <w:rsid w:val="00D0274F"/>
    <w:rsid w:val="00D044A1"/>
    <w:rsid w:val="00D06B24"/>
    <w:rsid w:val="00D21AF9"/>
    <w:rsid w:val="00D232F1"/>
    <w:rsid w:val="00D32A6E"/>
    <w:rsid w:val="00D35E22"/>
    <w:rsid w:val="00D47842"/>
    <w:rsid w:val="00D6663C"/>
    <w:rsid w:val="00D66E93"/>
    <w:rsid w:val="00D74191"/>
    <w:rsid w:val="00DA4799"/>
    <w:rsid w:val="00DA591E"/>
    <w:rsid w:val="00E03367"/>
    <w:rsid w:val="00E200F3"/>
    <w:rsid w:val="00E21ACB"/>
    <w:rsid w:val="00E749BF"/>
    <w:rsid w:val="00EB38F1"/>
    <w:rsid w:val="00EC260C"/>
    <w:rsid w:val="00EE707D"/>
    <w:rsid w:val="00F86FAE"/>
    <w:rsid w:val="00F9602A"/>
    <w:rsid w:val="00FA6890"/>
    <w:rsid w:val="00FA7C90"/>
    <w:rsid w:val="00FB20F2"/>
    <w:rsid w:val="00FB4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0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0678"/>
    <w:pPr>
      <w:ind w:left="100"/>
    </w:pPr>
    <w:rPr>
      <w:rFonts w:ascii="Cambria" w:eastAsia="Cambria" w:hAnsi="Cambria"/>
    </w:rPr>
  </w:style>
  <w:style w:type="paragraph" w:styleId="ListParagraph">
    <w:name w:val="List Paragraph"/>
    <w:basedOn w:val="Normal"/>
    <w:uiPriority w:val="34"/>
    <w:qFormat/>
    <w:rsid w:val="00650678"/>
  </w:style>
  <w:style w:type="paragraph" w:customStyle="1" w:styleId="TableParagraph">
    <w:name w:val="Table Paragraph"/>
    <w:basedOn w:val="Normal"/>
    <w:uiPriority w:val="1"/>
    <w:qFormat/>
    <w:rsid w:val="00650678"/>
  </w:style>
  <w:style w:type="paragraph" w:styleId="BalloonText">
    <w:name w:val="Balloon Text"/>
    <w:basedOn w:val="Normal"/>
    <w:link w:val="BalloonTextChar"/>
    <w:uiPriority w:val="99"/>
    <w:semiHidden/>
    <w:unhideWhenUsed/>
    <w:rsid w:val="00D35E22"/>
    <w:rPr>
      <w:rFonts w:ascii="Tahoma" w:hAnsi="Tahoma" w:cs="Tahoma"/>
      <w:sz w:val="16"/>
      <w:szCs w:val="16"/>
    </w:rPr>
  </w:style>
  <w:style w:type="character" w:customStyle="1" w:styleId="BalloonTextChar">
    <w:name w:val="Balloon Text Char"/>
    <w:basedOn w:val="DefaultParagraphFont"/>
    <w:link w:val="BalloonText"/>
    <w:uiPriority w:val="99"/>
    <w:semiHidden/>
    <w:rsid w:val="00D35E22"/>
    <w:rPr>
      <w:rFonts w:ascii="Tahoma" w:hAnsi="Tahoma" w:cs="Tahoma"/>
      <w:sz w:val="16"/>
      <w:szCs w:val="16"/>
    </w:rPr>
  </w:style>
  <w:style w:type="paragraph" w:styleId="Header">
    <w:name w:val="header"/>
    <w:basedOn w:val="Normal"/>
    <w:link w:val="HeaderChar"/>
    <w:uiPriority w:val="99"/>
    <w:unhideWhenUsed/>
    <w:rsid w:val="00D044A1"/>
    <w:pPr>
      <w:tabs>
        <w:tab w:val="center" w:pos="4680"/>
        <w:tab w:val="right" w:pos="9360"/>
      </w:tabs>
    </w:pPr>
  </w:style>
  <w:style w:type="character" w:customStyle="1" w:styleId="HeaderChar">
    <w:name w:val="Header Char"/>
    <w:basedOn w:val="DefaultParagraphFont"/>
    <w:link w:val="Header"/>
    <w:uiPriority w:val="99"/>
    <w:rsid w:val="00D044A1"/>
  </w:style>
  <w:style w:type="paragraph" w:styleId="Footer">
    <w:name w:val="footer"/>
    <w:basedOn w:val="Normal"/>
    <w:link w:val="FooterChar"/>
    <w:uiPriority w:val="99"/>
    <w:unhideWhenUsed/>
    <w:rsid w:val="00D044A1"/>
    <w:pPr>
      <w:tabs>
        <w:tab w:val="center" w:pos="4680"/>
        <w:tab w:val="right" w:pos="9360"/>
      </w:tabs>
    </w:pPr>
  </w:style>
  <w:style w:type="character" w:customStyle="1" w:styleId="FooterChar">
    <w:name w:val="Footer Char"/>
    <w:basedOn w:val="DefaultParagraphFont"/>
    <w:link w:val="Footer"/>
    <w:uiPriority w:val="99"/>
    <w:rsid w:val="00D044A1"/>
  </w:style>
  <w:style w:type="character" w:customStyle="1" w:styleId="BodyTextChar">
    <w:name w:val="Body Text Char"/>
    <w:basedOn w:val="DefaultParagraphFont"/>
    <w:link w:val="BodyText"/>
    <w:uiPriority w:val="1"/>
    <w:rsid w:val="003E154E"/>
    <w:rPr>
      <w:rFonts w:ascii="Cambria" w:eastAsia="Cambria" w:hAnsi="Cambria"/>
    </w:rPr>
  </w:style>
  <w:style w:type="paragraph" w:styleId="FootnoteText">
    <w:name w:val="footnote text"/>
    <w:basedOn w:val="Normal"/>
    <w:link w:val="FootnoteTextChar"/>
    <w:uiPriority w:val="99"/>
    <w:semiHidden/>
    <w:unhideWhenUsed/>
    <w:rsid w:val="009F4056"/>
    <w:rPr>
      <w:sz w:val="20"/>
      <w:szCs w:val="20"/>
    </w:rPr>
  </w:style>
  <w:style w:type="character" w:customStyle="1" w:styleId="FootnoteTextChar">
    <w:name w:val="Footnote Text Char"/>
    <w:basedOn w:val="DefaultParagraphFont"/>
    <w:link w:val="FootnoteText"/>
    <w:uiPriority w:val="99"/>
    <w:semiHidden/>
    <w:rsid w:val="009F4056"/>
    <w:rPr>
      <w:sz w:val="20"/>
      <w:szCs w:val="20"/>
    </w:rPr>
  </w:style>
  <w:style w:type="character" w:styleId="FootnoteReference">
    <w:name w:val="footnote reference"/>
    <w:basedOn w:val="DefaultParagraphFont"/>
    <w:uiPriority w:val="99"/>
    <w:semiHidden/>
    <w:unhideWhenUsed/>
    <w:rsid w:val="009F4056"/>
    <w:rPr>
      <w:vertAlign w:val="superscript"/>
    </w:rPr>
  </w:style>
  <w:style w:type="table" w:styleId="TableGrid">
    <w:name w:val="Table Grid"/>
    <w:basedOn w:val="TableNormal"/>
    <w:uiPriority w:val="39"/>
    <w:rsid w:val="00B243F3"/>
    <w:pPr>
      <w:widowControl/>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66E93"/>
    <w:rPr>
      <w:sz w:val="20"/>
      <w:szCs w:val="20"/>
    </w:rPr>
  </w:style>
  <w:style w:type="character" w:customStyle="1" w:styleId="EndnoteTextChar">
    <w:name w:val="Endnote Text Char"/>
    <w:basedOn w:val="DefaultParagraphFont"/>
    <w:link w:val="EndnoteText"/>
    <w:uiPriority w:val="99"/>
    <w:semiHidden/>
    <w:rsid w:val="00D66E93"/>
    <w:rPr>
      <w:sz w:val="20"/>
      <w:szCs w:val="20"/>
    </w:rPr>
  </w:style>
  <w:style w:type="character" w:styleId="EndnoteReference">
    <w:name w:val="endnote reference"/>
    <w:basedOn w:val="DefaultParagraphFont"/>
    <w:uiPriority w:val="99"/>
    <w:semiHidden/>
    <w:unhideWhenUsed/>
    <w:rsid w:val="00D66E93"/>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0946A-8904-4D06-88AD-078DC69E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6</cp:revision>
  <cp:lastPrinted>2017-03-21T22:00:00Z</cp:lastPrinted>
  <dcterms:created xsi:type="dcterms:W3CDTF">2017-04-15T00:20:00Z</dcterms:created>
  <dcterms:modified xsi:type="dcterms:W3CDTF">2017-04-24T22:24:00Z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2014-05-29T00:00:00Z</vt:filetime>
  </property>
  <property fmtid="{D5CDD505-2E9C-101B-9397-08002B2CF9AE}" pid="3" name="LastSaved">
    <vt:filetime>2014-05-29T00:00:00Z</vt:filetime>
  </property>
</Properties>
</file>