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78" w:rsidRPr="00E03367" w:rsidRDefault="00DA4799" w:rsidP="00E03367">
      <w:pPr>
        <w:ind w:left="1080" w:right="1080"/>
        <w:jc w:val="center"/>
        <w:rPr>
          <w:i/>
          <w:sz w:val="22"/>
          <w:szCs w:val="22"/>
        </w:rPr>
      </w:pPr>
      <w:r w:rsidRPr="00E03367">
        <w:rPr>
          <w:i/>
          <w:w w:val="115"/>
          <w:sz w:val="22"/>
          <w:szCs w:val="22"/>
        </w:rPr>
        <w:t>“As for me, I</w:t>
      </w:r>
      <w:r w:rsidRPr="00E03367">
        <w:rPr>
          <w:i/>
          <w:spacing w:val="6"/>
          <w:w w:val="115"/>
          <w:sz w:val="22"/>
          <w:szCs w:val="22"/>
        </w:rPr>
        <w:t xml:space="preserve"> </w:t>
      </w:r>
      <w:r w:rsidR="008651FB" w:rsidRPr="00E03367">
        <w:rPr>
          <w:i/>
          <w:spacing w:val="6"/>
          <w:w w:val="115"/>
          <w:sz w:val="22"/>
          <w:szCs w:val="22"/>
        </w:rPr>
        <w:t>s</w:t>
      </w:r>
      <w:r w:rsidRPr="00E03367">
        <w:rPr>
          <w:i/>
          <w:w w:val="115"/>
          <w:sz w:val="22"/>
          <w:szCs w:val="22"/>
        </w:rPr>
        <w:t>ee no such great caus</w:t>
      </w:r>
      <w:r w:rsidR="008651FB" w:rsidRPr="00E03367">
        <w:rPr>
          <w:i/>
          <w:w w:val="115"/>
          <w:sz w:val="22"/>
          <w:szCs w:val="22"/>
        </w:rPr>
        <w:t>e</w:t>
      </w:r>
      <w:r w:rsidRPr="00E03367">
        <w:rPr>
          <w:i/>
          <w:w w:val="115"/>
          <w:sz w:val="22"/>
          <w:szCs w:val="22"/>
        </w:rPr>
        <w:t xml:space="preserve"> </w:t>
      </w:r>
      <w:r w:rsidR="008651FB" w:rsidRPr="00E03367">
        <w:rPr>
          <w:i/>
          <w:spacing w:val="6"/>
          <w:w w:val="115"/>
          <w:sz w:val="22"/>
          <w:szCs w:val="22"/>
        </w:rPr>
        <w:t>w</w:t>
      </w:r>
      <w:r w:rsidRPr="00E03367">
        <w:rPr>
          <w:i/>
          <w:w w:val="115"/>
          <w:sz w:val="22"/>
          <w:szCs w:val="22"/>
        </w:rPr>
        <w:t>hy I should either</w:t>
      </w:r>
      <w:r w:rsidRPr="00E03367">
        <w:rPr>
          <w:i/>
          <w:spacing w:val="-2"/>
          <w:w w:val="115"/>
          <w:sz w:val="22"/>
          <w:szCs w:val="22"/>
        </w:rPr>
        <w:t xml:space="preserve"> </w:t>
      </w:r>
      <w:r w:rsidR="008651FB" w:rsidRPr="00E03367">
        <w:rPr>
          <w:i/>
          <w:spacing w:val="-2"/>
          <w:w w:val="115"/>
          <w:sz w:val="22"/>
          <w:szCs w:val="22"/>
        </w:rPr>
        <w:t>b</w:t>
      </w:r>
      <w:r w:rsidRPr="00E03367">
        <w:rPr>
          <w:i/>
          <w:w w:val="115"/>
          <w:sz w:val="22"/>
          <w:szCs w:val="22"/>
        </w:rPr>
        <w:t xml:space="preserve">e </w:t>
      </w:r>
      <w:proofErr w:type="spellStart"/>
      <w:r w:rsidRPr="00E03367">
        <w:rPr>
          <w:i/>
          <w:w w:val="115"/>
          <w:sz w:val="22"/>
          <w:szCs w:val="22"/>
        </w:rPr>
        <w:t>fond</w:t>
      </w:r>
      <w:proofErr w:type="spellEnd"/>
      <w:r w:rsidRPr="00E03367">
        <w:rPr>
          <w:i/>
          <w:w w:val="115"/>
          <w:sz w:val="22"/>
          <w:szCs w:val="22"/>
        </w:rPr>
        <w:t xml:space="preserve"> to live or fear to die</w:t>
      </w:r>
      <w:r w:rsidR="0012098D" w:rsidRPr="00E03367">
        <w:rPr>
          <w:i/>
          <w:w w:val="115"/>
          <w:sz w:val="22"/>
          <w:szCs w:val="22"/>
        </w:rPr>
        <w:t xml:space="preserve">. </w:t>
      </w:r>
      <w:r w:rsidRPr="00E03367">
        <w:rPr>
          <w:i/>
          <w:w w:val="115"/>
          <w:sz w:val="22"/>
          <w:szCs w:val="22"/>
        </w:rPr>
        <w:t xml:space="preserve">I have </w:t>
      </w:r>
      <w:r w:rsidR="008651FB" w:rsidRPr="00E03367">
        <w:rPr>
          <w:i/>
          <w:w w:val="115"/>
          <w:sz w:val="22"/>
          <w:szCs w:val="22"/>
        </w:rPr>
        <w:t>ha</w:t>
      </w:r>
      <w:r w:rsidRPr="00E03367">
        <w:rPr>
          <w:i/>
          <w:w w:val="115"/>
          <w:sz w:val="22"/>
          <w:szCs w:val="22"/>
        </w:rPr>
        <w:t>d good experience</w:t>
      </w:r>
      <w:r w:rsidR="008651FB" w:rsidRPr="00E03367">
        <w:rPr>
          <w:i/>
          <w:w w:val="115"/>
          <w:sz w:val="22"/>
          <w:szCs w:val="22"/>
        </w:rPr>
        <w:t xml:space="preserve"> </w:t>
      </w:r>
      <w:r w:rsidRPr="00E03367">
        <w:rPr>
          <w:i/>
          <w:w w:val="115"/>
          <w:sz w:val="22"/>
          <w:szCs w:val="22"/>
        </w:rPr>
        <w:t>in</w:t>
      </w:r>
      <w:r w:rsidR="008651FB" w:rsidRPr="00E03367">
        <w:rPr>
          <w:i/>
          <w:w w:val="115"/>
          <w:sz w:val="22"/>
          <w:szCs w:val="22"/>
        </w:rPr>
        <w:t xml:space="preserve"> </w:t>
      </w:r>
      <w:r w:rsidR="008651FB" w:rsidRPr="00E03367">
        <w:rPr>
          <w:i/>
          <w:spacing w:val="3"/>
          <w:w w:val="115"/>
          <w:sz w:val="22"/>
          <w:szCs w:val="22"/>
        </w:rPr>
        <w:t>t</w:t>
      </w:r>
      <w:r w:rsidRPr="00E03367">
        <w:rPr>
          <w:i/>
          <w:w w:val="115"/>
          <w:sz w:val="22"/>
          <w:szCs w:val="22"/>
        </w:rPr>
        <w:t>his</w:t>
      </w:r>
      <w:r w:rsidR="008651FB" w:rsidRPr="00E03367">
        <w:rPr>
          <w:i/>
          <w:w w:val="115"/>
          <w:sz w:val="22"/>
          <w:szCs w:val="22"/>
        </w:rPr>
        <w:t xml:space="preserve"> </w:t>
      </w:r>
      <w:r w:rsidRPr="00E03367">
        <w:rPr>
          <w:i/>
          <w:w w:val="115"/>
          <w:sz w:val="22"/>
          <w:szCs w:val="22"/>
        </w:rPr>
        <w:t>world, and I</w:t>
      </w:r>
      <w:r w:rsidRPr="00E03367">
        <w:rPr>
          <w:i/>
          <w:spacing w:val="6"/>
          <w:w w:val="115"/>
          <w:sz w:val="22"/>
          <w:szCs w:val="22"/>
        </w:rPr>
        <w:t xml:space="preserve"> </w:t>
      </w:r>
      <w:r w:rsidR="008651FB" w:rsidRPr="00E03367">
        <w:rPr>
          <w:i/>
          <w:spacing w:val="6"/>
          <w:w w:val="115"/>
          <w:sz w:val="22"/>
          <w:szCs w:val="22"/>
        </w:rPr>
        <w:t>k</w:t>
      </w:r>
      <w:r w:rsidRPr="00E03367">
        <w:rPr>
          <w:i/>
          <w:w w:val="115"/>
          <w:sz w:val="22"/>
          <w:szCs w:val="22"/>
        </w:rPr>
        <w:t xml:space="preserve">now what it is to be a </w:t>
      </w:r>
      <w:r w:rsidR="008651FB" w:rsidRPr="00E03367">
        <w:rPr>
          <w:i/>
          <w:spacing w:val="4"/>
          <w:w w:val="115"/>
          <w:sz w:val="22"/>
          <w:szCs w:val="22"/>
        </w:rPr>
        <w:t>s</w:t>
      </w:r>
      <w:r w:rsidRPr="00E03367">
        <w:rPr>
          <w:i/>
          <w:w w:val="115"/>
          <w:sz w:val="22"/>
          <w:szCs w:val="22"/>
        </w:rPr>
        <w:t>ubject and what</w:t>
      </w:r>
      <w:r w:rsidR="008651FB" w:rsidRPr="00E03367">
        <w:rPr>
          <w:i/>
          <w:w w:val="115"/>
          <w:sz w:val="22"/>
          <w:szCs w:val="22"/>
        </w:rPr>
        <w:t xml:space="preserve"> </w:t>
      </w:r>
      <w:r w:rsidR="008651FB" w:rsidRPr="00E03367">
        <w:rPr>
          <w:i/>
          <w:w w:val="113"/>
          <w:sz w:val="22"/>
          <w:szCs w:val="22"/>
        </w:rPr>
        <w:t>t</w:t>
      </w:r>
      <w:r w:rsidRPr="00E03367">
        <w:rPr>
          <w:i/>
          <w:w w:val="115"/>
          <w:sz w:val="22"/>
          <w:szCs w:val="22"/>
        </w:rPr>
        <w:t>o be a</w:t>
      </w:r>
      <w:r w:rsidR="008651FB" w:rsidRPr="00E03367">
        <w:rPr>
          <w:i/>
          <w:w w:val="115"/>
          <w:sz w:val="22"/>
          <w:szCs w:val="22"/>
        </w:rPr>
        <w:t xml:space="preserve"> </w:t>
      </w:r>
      <w:r w:rsidRPr="00E03367">
        <w:rPr>
          <w:i/>
          <w:w w:val="115"/>
          <w:sz w:val="22"/>
          <w:szCs w:val="22"/>
        </w:rPr>
        <w:t>sovereign.</w:t>
      </w:r>
      <w:r w:rsidR="008651FB" w:rsidRPr="00E03367">
        <w:rPr>
          <w:i/>
          <w:w w:val="115"/>
          <w:sz w:val="22"/>
          <w:szCs w:val="22"/>
        </w:rPr>
        <w:t xml:space="preserve">  </w:t>
      </w:r>
      <w:r w:rsidRPr="00E03367">
        <w:rPr>
          <w:i/>
          <w:w w:val="115"/>
          <w:sz w:val="22"/>
          <w:szCs w:val="22"/>
        </w:rPr>
        <w:t>Good nei</w:t>
      </w:r>
      <w:r w:rsidR="008651FB" w:rsidRPr="00E03367">
        <w:rPr>
          <w:i/>
          <w:spacing w:val="3"/>
          <w:w w:val="115"/>
          <w:sz w:val="22"/>
          <w:szCs w:val="22"/>
        </w:rPr>
        <w:t>g</w:t>
      </w:r>
      <w:r w:rsidRPr="00E03367">
        <w:rPr>
          <w:i/>
          <w:w w:val="115"/>
          <w:sz w:val="22"/>
          <w:szCs w:val="22"/>
        </w:rPr>
        <w:t>hbors I have had, and I have</w:t>
      </w:r>
      <w:r w:rsidR="008651FB" w:rsidRPr="00E03367">
        <w:rPr>
          <w:i/>
          <w:w w:val="115"/>
          <w:sz w:val="22"/>
          <w:szCs w:val="22"/>
        </w:rPr>
        <w:t xml:space="preserve"> </w:t>
      </w:r>
      <w:r w:rsidRPr="00E03367">
        <w:rPr>
          <w:i/>
          <w:w w:val="115"/>
          <w:sz w:val="22"/>
          <w:szCs w:val="22"/>
        </w:rPr>
        <w:t>met with bad; and in trust I have found treason</w:t>
      </w:r>
      <w:r w:rsidR="008651FB" w:rsidRPr="00E03367">
        <w:rPr>
          <w:i/>
          <w:w w:val="115"/>
          <w:sz w:val="22"/>
          <w:szCs w:val="22"/>
        </w:rPr>
        <w:t>.</w:t>
      </w:r>
      <w:r w:rsidRPr="00E03367">
        <w:rPr>
          <w:i/>
          <w:w w:val="115"/>
          <w:sz w:val="22"/>
          <w:szCs w:val="22"/>
        </w:rPr>
        <w:t>”</w:t>
      </w:r>
    </w:p>
    <w:p w:rsidR="00650678" w:rsidRPr="00330CA2" w:rsidRDefault="00650678" w:rsidP="00E03367"/>
    <w:p w:rsidR="00914436" w:rsidRPr="00FB20F2" w:rsidRDefault="00DA4799" w:rsidP="00C001E5">
      <w:pPr>
        <w:pStyle w:val="BodyText"/>
        <w:ind w:left="0"/>
        <w:rPr>
          <w:rFonts w:ascii="Times New Roman" w:hAnsi="Times New Roman"/>
          <w:w w:val="115"/>
        </w:rPr>
      </w:pPr>
      <w:r w:rsidRPr="00FB20F2">
        <w:rPr>
          <w:rFonts w:ascii="Times New Roman" w:hAnsi="Times New Roman"/>
          <w:w w:val="115"/>
        </w:rPr>
        <w:t>In her 1586 spee</w:t>
      </w:r>
      <w:r w:rsidR="00330CA2" w:rsidRPr="00FB20F2">
        <w:rPr>
          <w:rFonts w:ascii="Times New Roman" w:hAnsi="Times New Roman"/>
          <w:w w:val="115"/>
        </w:rPr>
        <w:t xml:space="preserve">ch to </w:t>
      </w:r>
      <w:r w:rsidRPr="00FB20F2">
        <w:rPr>
          <w:rFonts w:ascii="Times New Roman" w:hAnsi="Times New Roman"/>
          <w:w w:val="115"/>
        </w:rPr>
        <w:t>Parlia</w:t>
      </w:r>
      <w:r w:rsidR="00330CA2" w:rsidRPr="00FB20F2">
        <w:rPr>
          <w:rFonts w:ascii="Times New Roman" w:hAnsi="Times New Roman"/>
          <w:w w:val="115"/>
        </w:rPr>
        <w:t>m</w:t>
      </w:r>
      <w:r w:rsidRPr="00FB20F2">
        <w:rPr>
          <w:rFonts w:ascii="Times New Roman" w:hAnsi="Times New Roman"/>
          <w:w w:val="115"/>
        </w:rPr>
        <w:t>ent, a speech laced</w:t>
      </w:r>
      <w:r w:rsidRPr="00FB20F2">
        <w:rPr>
          <w:rFonts w:ascii="Times New Roman" w:hAnsi="Times New Roman"/>
          <w:w w:val="114"/>
        </w:rPr>
        <w:t xml:space="preserve"> </w:t>
      </w:r>
      <w:r w:rsidR="00330CA2" w:rsidRPr="00FB20F2">
        <w:rPr>
          <w:rFonts w:ascii="Times New Roman" w:hAnsi="Times New Roman"/>
          <w:w w:val="114"/>
        </w:rPr>
        <w:t>w</w:t>
      </w:r>
      <w:r w:rsidRPr="00FB20F2">
        <w:rPr>
          <w:rFonts w:ascii="Times New Roman" w:hAnsi="Times New Roman"/>
          <w:w w:val="115"/>
        </w:rPr>
        <w:t>ith ambiguities</w:t>
      </w:r>
      <w:r w:rsidR="003E154E" w:rsidRPr="00FB20F2">
        <w:rPr>
          <w:rFonts w:ascii="Times New Roman" w:hAnsi="Times New Roman"/>
          <w:w w:val="115"/>
        </w:rPr>
        <w:t xml:space="preserve"> </w:t>
      </w:r>
      <w:r w:rsidRPr="00FB20F2">
        <w:rPr>
          <w:rFonts w:ascii="Times New Roman" w:hAnsi="Times New Roman"/>
          <w:w w:val="115"/>
        </w:rPr>
        <w:t>in</w:t>
      </w:r>
      <w:r w:rsidRPr="00FB20F2">
        <w:rPr>
          <w:rFonts w:ascii="Times New Roman" w:hAnsi="Times New Roman"/>
          <w:spacing w:val="54"/>
          <w:w w:val="115"/>
        </w:rPr>
        <w:t xml:space="preserve"> </w:t>
      </w:r>
      <w:r w:rsidRPr="00FB20F2">
        <w:rPr>
          <w:rFonts w:ascii="Times New Roman" w:hAnsi="Times New Roman"/>
          <w:w w:val="115"/>
        </w:rPr>
        <w:t xml:space="preserve">response </w:t>
      </w:r>
      <w:r w:rsidR="00330CA2" w:rsidRPr="00FB20F2">
        <w:rPr>
          <w:rFonts w:ascii="Times New Roman" w:hAnsi="Times New Roman"/>
          <w:w w:val="115"/>
        </w:rPr>
        <w:t>t</w:t>
      </w:r>
      <w:r w:rsidRPr="00FB20F2">
        <w:rPr>
          <w:rFonts w:ascii="Times New Roman" w:hAnsi="Times New Roman"/>
          <w:w w:val="115"/>
        </w:rPr>
        <w:t>o Parliament’s petition to have</w:t>
      </w:r>
      <w:r w:rsidRPr="00FB20F2">
        <w:rPr>
          <w:rFonts w:ascii="Times New Roman" w:hAnsi="Times New Roman"/>
          <w:w w:val="114"/>
        </w:rPr>
        <w:t xml:space="preserve"> </w:t>
      </w:r>
      <w:r w:rsidR="00330CA2" w:rsidRPr="00FB20F2">
        <w:rPr>
          <w:rFonts w:ascii="Times New Roman" w:hAnsi="Times New Roman"/>
          <w:w w:val="114"/>
        </w:rPr>
        <w:t>M</w:t>
      </w:r>
      <w:r w:rsidRPr="00FB20F2">
        <w:rPr>
          <w:rFonts w:ascii="Times New Roman" w:hAnsi="Times New Roman"/>
          <w:w w:val="115"/>
        </w:rPr>
        <w:t>ary Queen of</w:t>
      </w:r>
      <w:r w:rsidRPr="00FB20F2">
        <w:rPr>
          <w:rFonts w:ascii="Times New Roman" w:hAnsi="Times New Roman"/>
          <w:spacing w:val="53"/>
          <w:w w:val="115"/>
        </w:rPr>
        <w:t xml:space="preserve"> </w:t>
      </w:r>
      <w:r w:rsidRPr="00FB20F2">
        <w:rPr>
          <w:rFonts w:ascii="Times New Roman" w:hAnsi="Times New Roman"/>
          <w:w w:val="115"/>
        </w:rPr>
        <w:t>Scots put to death</w:t>
      </w:r>
      <w:r w:rsidR="003E154E" w:rsidRPr="00FB20F2">
        <w:rPr>
          <w:rFonts w:ascii="Times New Roman" w:hAnsi="Times New Roman"/>
          <w:w w:val="115"/>
        </w:rPr>
        <w:t xml:space="preserve">, </w:t>
      </w:r>
      <w:r w:rsidR="0012098D" w:rsidRPr="00FB20F2">
        <w:rPr>
          <w:rFonts w:ascii="Times New Roman" w:hAnsi="Times New Roman"/>
          <w:w w:val="115"/>
        </w:rPr>
        <w:t>Q</w:t>
      </w:r>
      <w:r w:rsidRPr="00FB20F2">
        <w:rPr>
          <w:rFonts w:ascii="Times New Roman" w:hAnsi="Times New Roman"/>
          <w:w w:val="115"/>
        </w:rPr>
        <w:t xml:space="preserve">ueen Elizabeth </w:t>
      </w:r>
      <w:r w:rsidR="00330CA2" w:rsidRPr="00FB20F2">
        <w:rPr>
          <w:rFonts w:ascii="Times New Roman" w:hAnsi="Times New Roman"/>
          <w:w w:val="115"/>
        </w:rPr>
        <w:t xml:space="preserve">I </w:t>
      </w:r>
      <w:r w:rsidRPr="00FB20F2">
        <w:rPr>
          <w:rFonts w:ascii="Times New Roman" w:hAnsi="Times New Roman"/>
          <w:w w:val="115"/>
        </w:rPr>
        <w:t>stalls</w:t>
      </w:r>
      <w:r w:rsidR="00330CA2" w:rsidRPr="00FB20F2">
        <w:rPr>
          <w:rFonts w:ascii="Times New Roman" w:hAnsi="Times New Roman"/>
          <w:w w:val="115"/>
        </w:rPr>
        <w:t xml:space="preserve"> </w:t>
      </w:r>
      <w:r w:rsidRPr="00FB20F2">
        <w:rPr>
          <w:rFonts w:ascii="Times New Roman" w:hAnsi="Times New Roman"/>
          <w:w w:val="115"/>
        </w:rPr>
        <w:t>for time.</w:t>
      </w:r>
      <w:r w:rsidR="00330CA2" w:rsidRPr="00FB20F2">
        <w:rPr>
          <w:rFonts w:ascii="Times New Roman" w:hAnsi="Times New Roman"/>
          <w:w w:val="115"/>
        </w:rPr>
        <w:t xml:space="preserve">  </w:t>
      </w:r>
      <w:r w:rsidRPr="00FB20F2">
        <w:rPr>
          <w:rFonts w:ascii="Times New Roman" w:hAnsi="Times New Roman"/>
          <w:w w:val="115"/>
        </w:rPr>
        <w:t>Elizabet</w:t>
      </w:r>
      <w:r w:rsidR="00330CA2" w:rsidRPr="00FB20F2">
        <w:rPr>
          <w:rFonts w:ascii="Times New Roman" w:hAnsi="Times New Roman"/>
          <w:w w:val="115"/>
        </w:rPr>
        <w:t>h</w:t>
      </w:r>
      <w:r w:rsidRPr="00FB20F2">
        <w:rPr>
          <w:rFonts w:ascii="Times New Roman" w:hAnsi="Times New Roman"/>
          <w:w w:val="115"/>
        </w:rPr>
        <w:t>’s reluctance</w:t>
      </w:r>
      <w:r w:rsidR="00FB4A70" w:rsidRPr="00FB20F2">
        <w:rPr>
          <w:rFonts w:ascii="Times New Roman" w:hAnsi="Times New Roman"/>
          <w:w w:val="115"/>
        </w:rPr>
        <w:t xml:space="preserve"> to </w:t>
      </w:r>
      <w:r w:rsidRPr="00FB20F2">
        <w:rPr>
          <w:rFonts w:ascii="Times New Roman" w:hAnsi="Times New Roman"/>
          <w:w w:val="115"/>
        </w:rPr>
        <w:t>endorse</w:t>
      </w:r>
      <w:r w:rsidR="00556F74">
        <w:rPr>
          <w:rFonts w:ascii="Times New Roman" w:hAnsi="Times New Roman"/>
          <w:w w:val="115"/>
        </w:rPr>
        <w:t xml:space="preserve"> Parliam</w:t>
      </w:r>
      <w:r w:rsidR="00330CA2" w:rsidRPr="00FB20F2">
        <w:rPr>
          <w:rFonts w:ascii="Times New Roman" w:hAnsi="Times New Roman"/>
          <w:w w:val="115"/>
        </w:rPr>
        <w:t>ent’s request for Mary’s execution may be less a reflection of her con</w:t>
      </w:r>
      <w:r w:rsidR="00914436" w:rsidRPr="00FB20F2">
        <w:rPr>
          <w:rFonts w:ascii="Times New Roman" w:hAnsi="Times New Roman"/>
          <w:w w:val="115"/>
        </w:rPr>
        <w:t>cept of justice or love for a distant cousin than fear of subordinating the prerogative of a sister sovereign to the desires of a feisty legislative body.</w:t>
      </w:r>
    </w:p>
    <w:p w:rsidR="00914436" w:rsidRPr="00FB20F2" w:rsidRDefault="00914436" w:rsidP="00C001E5">
      <w:pPr>
        <w:pStyle w:val="BodyText"/>
        <w:ind w:left="0"/>
        <w:rPr>
          <w:rFonts w:ascii="Times New Roman" w:hAnsi="Times New Roman"/>
          <w:w w:val="115"/>
        </w:rPr>
      </w:pPr>
    </w:p>
    <w:p w:rsidR="00914436" w:rsidRPr="00FB20F2" w:rsidRDefault="00914436" w:rsidP="00C001E5">
      <w:pPr>
        <w:pStyle w:val="BodyText"/>
        <w:ind w:left="0"/>
        <w:rPr>
          <w:rFonts w:ascii="Times New Roman" w:hAnsi="Times New Roman"/>
          <w:w w:val="115"/>
        </w:rPr>
      </w:pPr>
      <w:r w:rsidRPr="00FB20F2">
        <w:rPr>
          <w:rFonts w:ascii="Times New Roman" w:hAnsi="Times New Roman"/>
          <w:w w:val="115"/>
        </w:rPr>
        <w:t xml:space="preserve">The history of the episode is fascinating, but it is the last phrase </w:t>
      </w:r>
      <w:r w:rsidR="009A786E">
        <w:rPr>
          <w:rFonts w:ascii="Times New Roman" w:hAnsi="Times New Roman"/>
          <w:w w:val="115"/>
        </w:rPr>
        <w:t xml:space="preserve">of the quotation </w:t>
      </w:r>
      <w:r w:rsidRPr="00FB20F2">
        <w:rPr>
          <w:rFonts w:ascii="Times New Roman" w:hAnsi="Times New Roman"/>
          <w:w w:val="115"/>
        </w:rPr>
        <w:t xml:space="preserve">that fascinates </w:t>
      </w:r>
      <w:r w:rsidR="0052751C" w:rsidRPr="00FB20F2">
        <w:rPr>
          <w:rFonts w:ascii="Times New Roman" w:hAnsi="Times New Roman"/>
          <w:w w:val="115"/>
        </w:rPr>
        <w:t>our salon</w:t>
      </w:r>
      <w:r w:rsidRPr="00FB20F2">
        <w:rPr>
          <w:rFonts w:ascii="Times New Roman" w:hAnsi="Times New Roman"/>
          <w:w w:val="115"/>
        </w:rPr>
        <w:t>.</w:t>
      </w:r>
    </w:p>
    <w:p w:rsidR="00914436" w:rsidRPr="00FB20F2" w:rsidRDefault="00914436" w:rsidP="00C001E5">
      <w:pPr>
        <w:pStyle w:val="BodyText"/>
        <w:ind w:left="0"/>
        <w:rPr>
          <w:rFonts w:ascii="Times New Roman" w:hAnsi="Times New Roman"/>
          <w:w w:val="115"/>
        </w:rPr>
      </w:pPr>
    </w:p>
    <w:p w:rsidR="00914436" w:rsidRPr="00FB20F2" w:rsidRDefault="00914436" w:rsidP="00C001E5">
      <w:pPr>
        <w:pStyle w:val="BodyText"/>
        <w:ind w:left="0"/>
        <w:rPr>
          <w:rFonts w:ascii="Times New Roman" w:hAnsi="Times New Roman"/>
          <w:w w:val="115"/>
        </w:rPr>
      </w:pPr>
      <w:r w:rsidRPr="00FB20F2">
        <w:rPr>
          <w:rFonts w:ascii="Times New Roman" w:hAnsi="Times New Roman"/>
          <w:w w:val="115"/>
        </w:rPr>
        <w:t xml:space="preserve">According to </w:t>
      </w:r>
      <w:r w:rsidRPr="00FB20F2">
        <w:rPr>
          <w:rFonts w:ascii="Times New Roman" w:hAnsi="Times New Roman"/>
          <w:i/>
          <w:w w:val="115"/>
        </w:rPr>
        <w:t>Merriam-Webster’s Collegiate Dictionary</w:t>
      </w:r>
      <w:r w:rsidRPr="00FB20F2">
        <w:rPr>
          <w:rFonts w:ascii="Times New Roman" w:hAnsi="Times New Roman"/>
          <w:w w:val="115"/>
        </w:rPr>
        <w:t xml:space="preserve"> (Tenth Edition, 1998), “Treason is the betrayal of trust.”  Several, maybe all of us, would have guessed the same.  But then </w:t>
      </w:r>
      <w:r w:rsidR="003E154E" w:rsidRPr="00FB20F2">
        <w:rPr>
          <w:rFonts w:ascii="Times New Roman" w:hAnsi="Times New Roman"/>
          <w:w w:val="115"/>
        </w:rPr>
        <w:t xml:space="preserve">a </w:t>
      </w:r>
      <w:r w:rsidRPr="00FB20F2">
        <w:rPr>
          <w:rFonts w:ascii="Times New Roman" w:hAnsi="Times New Roman"/>
          <w:w w:val="115"/>
        </w:rPr>
        <w:t>question arises, “What is trust?”  The same dictionary provides an answer, but, I think, a rather unsatisfactory one, “assured reliance on the character, ability, strength, or truth of someone or something.”</w:t>
      </w:r>
    </w:p>
    <w:p w:rsidR="00914436" w:rsidRPr="00FB20F2" w:rsidRDefault="00914436" w:rsidP="00C001E5">
      <w:pPr>
        <w:pStyle w:val="BodyText"/>
        <w:ind w:left="0"/>
        <w:rPr>
          <w:rFonts w:ascii="Times New Roman" w:hAnsi="Times New Roman"/>
          <w:w w:val="115"/>
        </w:rPr>
      </w:pPr>
    </w:p>
    <w:p w:rsidR="00714D25" w:rsidRPr="00FB20F2" w:rsidRDefault="00914436" w:rsidP="00C001E5">
      <w:pPr>
        <w:pStyle w:val="BodyText"/>
        <w:ind w:left="0"/>
        <w:rPr>
          <w:rFonts w:ascii="Times New Roman" w:hAnsi="Times New Roman"/>
        </w:rPr>
      </w:pPr>
      <w:r w:rsidRPr="00FB20F2">
        <w:rPr>
          <w:rFonts w:ascii="Times New Roman" w:hAnsi="Times New Roman"/>
        </w:rPr>
        <w:t xml:space="preserve">The most careful reader might wonder, then, whether the term </w:t>
      </w:r>
      <w:r w:rsidR="009F4056" w:rsidRPr="00FB20F2">
        <w:rPr>
          <w:rFonts w:ascii="Times New Roman" w:hAnsi="Times New Roman"/>
        </w:rPr>
        <w:t>“</w:t>
      </w:r>
      <w:r w:rsidRPr="00FB20F2">
        <w:rPr>
          <w:rFonts w:ascii="Times New Roman" w:hAnsi="Times New Roman"/>
        </w:rPr>
        <w:t>assured,</w:t>
      </w:r>
      <w:r w:rsidR="009F4056" w:rsidRPr="00FB20F2">
        <w:rPr>
          <w:rFonts w:ascii="Times New Roman" w:hAnsi="Times New Roman"/>
        </w:rPr>
        <w:t>”</w:t>
      </w:r>
      <w:r w:rsidRPr="00FB20F2">
        <w:rPr>
          <w:rFonts w:ascii="Times New Roman" w:hAnsi="Times New Roman"/>
        </w:rPr>
        <w:t xml:space="preserve"> which conveys certainty, is used properly.  If certainty is inherent to the term trust, then something is indeed amiss because certainty itself must have been betrayed, and the betrayal of that particular term </w:t>
      </w:r>
      <w:r w:rsidR="00714D25" w:rsidRPr="00FB20F2">
        <w:rPr>
          <w:rFonts w:ascii="Times New Roman" w:hAnsi="Times New Roman"/>
        </w:rPr>
        <w:t>suggests that certainty hadn’t existed at all in the first place – or if it had, it was improperly constru</w:t>
      </w:r>
      <w:r w:rsidR="0052751C" w:rsidRPr="00FB20F2">
        <w:rPr>
          <w:rFonts w:ascii="Times New Roman" w:hAnsi="Times New Roman"/>
        </w:rPr>
        <w:t xml:space="preserve">cted, perhaps by a fool.  Yet, </w:t>
      </w:r>
      <w:r w:rsidR="00B75342" w:rsidRPr="00FB20F2">
        <w:rPr>
          <w:rFonts w:ascii="Times New Roman" w:hAnsi="Times New Roman"/>
        </w:rPr>
        <w:t xml:space="preserve">Elizabeth was </w:t>
      </w:r>
      <w:r w:rsidR="0052751C" w:rsidRPr="00FB20F2">
        <w:rPr>
          <w:rFonts w:ascii="Times New Roman" w:hAnsi="Times New Roman"/>
        </w:rPr>
        <w:t>no</w:t>
      </w:r>
      <w:r w:rsidR="00B75342" w:rsidRPr="00FB20F2">
        <w:rPr>
          <w:rFonts w:ascii="Times New Roman" w:hAnsi="Times New Roman"/>
        </w:rPr>
        <w:t xml:space="preserve"> fool.  Nor do I think </w:t>
      </w:r>
      <w:r w:rsidR="00714D25" w:rsidRPr="00FB20F2">
        <w:rPr>
          <w:rFonts w:ascii="Times New Roman" w:hAnsi="Times New Roman"/>
        </w:rPr>
        <w:t xml:space="preserve">the Merriam Webster staff would have had fools in mind when </w:t>
      </w:r>
      <w:r w:rsidR="00B75342" w:rsidRPr="00FB20F2">
        <w:rPr>
          <w:rFonts w:ascii="Times New Roman" w:hAnsi="Times New Roman"/>
        </w:rPr>
        <w:t xml:space="preserve">drafting </w:t>
      </w:r>
      <w:r w:rsidR="00714D25" w:rsidRPr="00FB20F2">
        <w:rPr>
          <w:rFonts w:ascii="Times New Roman" w:hAnsi="Times New Roman"/>
        </w:rPr>
        <w:t xml:space="preserve">and propagating </w:t>
      </w:r>
      <w:r w:rsidR="00B75342" w:rsidRPr="00FB20F2">
        <w:rPr>
          <w:rFonts w:ascii="Times New Roman" w:hAnsi="Times New Roman"/>
        </w:rPr>
        <w:t xml:space="preserve">its </w:t>
      </w:r>
      <w:r w:rsidR="003E154E" w:rsidRPr="00FB20F2">
        <w:rPr>
          <w:rFonts w:ascii="Times New Roman" w:hAnsi="Times New Roman"/>
        </w:rPr>
        <w:t>definition</w:t>
      </w:r>
      <w:r w:rsidR="00714D25" w:rsidRPr="00FB20F2">
        <w:rPr>
          <w:rFonts w:ascii="Times New Roman" w:hAnsi="Times New Roman"/>
        </w:rPr>
        <w:t>.</w:t>
      </w:r>
    </w:p>
    <w:p w:rsidR="00714D25" w:rsidRPr="00FB20F2" w:rsidRDefault="00714D25" w:rsidP="00C001E5">
      <w:pPr>
        <w:pStyle w:val="BodyText"/>
        <w:ind w:left="0"/>
        <w:rPr>
          <w:rFonts w:ascii="Times New Roman" w:hAnsi="Times New Roman"/>
        </w:rPr>
      </w:pPr>
    </w:p>
    <w:p w:rsidR="00650678" w:rsidRPr="00FB20F2" w:rsidRDefault="00714D25" w:rsidP="00C001E5">
      <w:pPr>
        <w:pStyle w:val="BodyText"/>
        <w:ind w:left="0"/>
        <w:rPr>
          <w:rFonts w:ascii="Times New Roman" w:hAnsi="Times New Roman"/>
        </w:rPr>
      </w:pPr>
      <w:r w:rsidRPr="00FB20F2">
        <w:rPr>
          <w:rFonts w:ascii="Times New Roman" w:hAnsi="Times New Roman"/>
        </w:rPr>
        <w:t>Another possibility is that the Merriam-Webster gang merely provides us a positive definition, not a normative one.  That is, the staff assigns no notion of desirability to the definition of trust.  In other words, the “character” to which the definition refers could be heavenly or just as easily sordid.  The ability of the “trusted” person could</w:t>
      </w:r>
      <w:r w:rsidR="00A31515" w:rsidRPr="00FB20F2">
        <w:rPr>
          <w:rFonts w:ascii="Times New Roman" w:hAnsi="Times New Roman"/>
        </w:rPr>
        <w:t xml:space="preserve"> be limitless or very limited; </w:t>
      </w:r>
      <w:r w:rsidRPr="00FB20F2">
        <w:rPr>
          <w:rFonts w:ascii="Times New Roman" w:hAnsi="Times New Roman"/>
        </w:rPr>
        <w:t>strength could be just as easily described as weakness; and truth could just as easily be nothing more than an adherence to what a person believes to be truth – in her or his own mind.  There is</w:t>
      </w:r>
      <w:r w:rsidR="0095520D" w:rsidRPr="00FB20F2">
        <w:rPr>
          <w:rFonts w:ascii="Times New Roman" w:hAnsi="Times New Roman"/>
        </w:rPr>
        <w:t xml:space="preserve"> no objective truth necessarily, maybe only subjective truth, subject to the experiences and values and perspectives of the </w:t>
      </w:r>
      <w:r w:rsidR="00FB20F2">
        <w:rPr>
          <w:rFonts w:ascii="Times New Roman" w:hAnsi="Times New Roman"/>
        </w:rPr>
        <w:t>judge</w:t>
      </w:r>
      <w:r w:rsidR="0095520D" w:rsidRPr="00FB20F2">
        <w:rPr>
          <w:rFonts w:ascii="Times New Roman" w:hAnsi="Times New Roman"/>
        </w:rPr>
        <w:t>.</w:t>
      </w:r>
    </w:p>
    <w:p w:rsidR="0095520D" w:rsidRPr="00FB20F2" w:rsidRDefault="0095520D" w:rsidP="00C001E5">
      <w:pPr>
        <w:pStyle w:val="BodyText"/>
        <w:ind w:left="0"/>
        <w:rPr>
          <w:rFonts w:ascii="Times New Roman" w:hAnsi="Times New Roman"/>
        </w:rPr>
      </w:pPr>
    </w:p>
    <w:p w:rsidR="0095520D" w:rsidRPr="00FB20F2" w:rsidRDefault="0095520D" w:rsidP="00C001E5">
      <w:pPr>
        <w:pStyle w:val="BodyText"/>
        <w:ind w:left="0"/>
        <w:rPr>
          <w:rFonts w:ascii="Times New Roman" w:hAnsi="Times New Roman"/>
          <w:w w:val="115"/>
        </w:rPr>
      </w:pPr>
      <w:r w:rsidRPr="00FB20F2">
        <w:rPr>
          <w:rFonts w:ascii="Times New Roman" w:hAnsi="Times New Roman"/>
          <w:w w:val="115"/>
        </w:rPr>
        <w:t>In this respect, one might suggest that, to use the most squalid of examples, Hitler was trustworthy.  People could rely upon him.  He had some impressive abilities (although admittedly some glaring weaknesses as well)</w:t>
      </w:r>
      <w:r w:rsidR="00FB20F2">
        <w:rPr>
          <w:rFonts w:ascii="Times New Roman" w:hAnsi="Times New Roman"/>
          <w:w w:val="115"/>
        </w:rPr>
        <w:t>,</w:t>
      </w:r>
      <w:r w:rsidR="00D74191">
        <w:rPr>
          <w:rFonts w:ascii="Times New Roman" w:hAnsi="Times New Roman"/>
          <w:w w:val="115"/>
        </w:rPr>
        <w:t xml:space="preserve"> he was a strongman,</w:t>
      </w:r>
      <w:r w:rsidR="00FB20F2">
        <w:rPr>
          <w:rFonts w:ascii="Times New Roman" w:hAnsi="Times New Roman"/>
          <w:w w:val="115"/>
        </w:rPr>
        <w:t xml:space="preserve"> </w:t>
      </w:r>
      <w:r w:rsidRPr="00FB20F2">
        <w:rPr>
          <w:rFonts w:ascii="Times New Roman" w:hAnsi="Times New Roman"/>
          <w:w w:val="115"/>
        </w:rPr>
        <w:t xml:space="preserve">and he acted in a way that he apparently thought was consistent with truth.  Or take a less egregious example.  I know a senior officer in the navy who I “trust” to do anything and everything that serves his own selfish purpose.  In that sense, I </w:t>
      </w:r>
      <w:r w:rsidR="003E154E" w:rsidRPr="00FB20F2">
        <w:rPr>
          <w:rFonts w:ascii="Times New Roman" w:hAnsi="Times New Roman"/>
          <w:w w:val="115"/>
        </w:rPr>
        <w:t>“</w:t>
      </w:r>
      <w:r w:rsidRPr="00FB20F2">
        <w:rPr>
          <w:rFonts w:ascii="Times New Roman" w:hAnsi="Times New Roman"/>
          <w:w w:val="115"/>
        </w:rPr>
        <w:t>trust</w:t>
      </w:r>
      <w:r w:rsidR="003E154E" w:rsidRPr="00FB20F2">
        <w:rPr>
          <w:rFonts w:ascii="Times New Roman" w:hAnsi="Times New Roman"/>
          <w:w w:val="115"/>
        </w:rPr>
        <w:t>”</w:t>
      </w:r>
      <w:r w:rsidRPr="00FB20F2">
        <w:rPr>
          <w:rFonts w:ascii="Times New Roman" w:hAnsi="Times New Roman"/>
          <w:w w:val="115"/>
        </w:rPr>
        <w:t xml:space="preserve"> him at the same time as never wanting my child </w:t>
      </w:r>
      <w:r w:rsidR="003E154E" w:rsidRPr="00FB20F2">
        <w:rPr>
          <w:rFonts w:ascii="Times New Roman" w:hAnsi="Times New Roman"/>
          <w:w w:val="115"/>
        </w:rPr>
        <w:t xml:space="preserve">or anyone’s child </w:t>
      </w:r>
      <w:r w:rsidR="00A31515" w:rsidRPr="00FB20F2">
        <w:rPr>
          <w:rFonts w:ascii="Times New Roman" w:hAnsi="Times New Roman"/>
          <w:w w:val="115"/>
        </w:rPr>
        <w:t>to have to serve under him;</w:t>
      </w:r>
      <w:r w:rsidRPr="00FB20F2">
        <w:rPr>
          <w:rFonts w:ascii="Times New Roman" w:hAnsi="Times New Roman"/>
          <w:w w:val="115"/>
        </w:rPr>
        <w:t xml:space="preserve"> nor am I happy that </w:t>
      </w:r>
      <w:r w:rsidR="00B75342" w:rsidRPr="00FB20F2">
        <w:rPr>
          <w:rFonts w:ascii="Times New Roman" w:hAnsi="Times New Roman"/>
          <w:w w:val="115"/>
        </w:rPr>
        <w:t xml:space="preserve">the allocation of </w:t>
      </w:r>
      <w:r w:rsidRPr="00FB20F2">
        <w:rPr>
          <w:rFonts w:ascii="Times New Roman" w:hAnsi="Times New Roman"/>
          <w:w w:val="115"/>
        </w:rPr>
        <w:t xml:space="preserve">a portion of the national budget or that </w:t>
      </w:r>
      <w:r w:rsidR="00B75342" w:rsidRPr="00FB20F2">
        <w:rPr>
          <w:rFonts w:ascii="Times New Roman" w:hAnsi="Times New Roman"/>
          <w:w w:val="115"/>
        </w:rPr>
        <w:t xml:space="preserve">the well-being of </w:t>
      </w:r>
      <w:r w:rsidR="0052751C" w:rsidRPr="00FB20F2">
        <w:rPr>
          <w:rFonts w:ascii="Times New Roman" w:hAnsi="Times New Roman"/>
          <w:w w:val="115"/>
        </w:rPr>
        <w:t>M</w:t>
      </w:r>
      <w:r w:rsidRPr="00FB20F2">
        <w:rPr>
          <w:rFonts w:ascii="Times New Roman" w:hAnsi="Times New Roman"/>
          <w:w w:val="115"/>
        </w:rPr>
        <w:t>arines and sailors are subject to his</w:t>
      </w:r>
      <w:r w:rsidR="00C001E5" w:rsidRPr="00FB20F2">
        <w:rPr>
          <w:rFonts w:ascii="Times New Roman" w:hAnsi="Times New Roman"/>
          <w:w w:val="115"/>
        </w:rPr>
        <w:t xml:space="preserve"> </w:t>
      </w:r>
      <w:r w:rsidRPr="00FB20F2">
        <w:rPr>
          <w:rFonts w:ascii="Times New Roman" w:hAnsi="Times New Roman"/>
          <w:w w:val="115"/>
        </w:rPr>
        <w:t>decision-making.</w:t>
      </w:r>
    </w:p>
    <w:p w:rsidR="0095520D" w:rsidRPr="00FB20F2" w:rsidRDefault="0095520D" w:rsidP="00E03367">
      <w:pPr>
        <w:pStyle w:val="BodyText"/>
        <w:rPr>
          <w:rFonts w:ascii="Times New Roman" w:hAnsi="Times New Roman"/>
          <w:w w:val="115"/>
        </w:rPr>
      </w:pPr>
    </w:p>
    <w:p w:rsidR="00650678" w:rsidRPr="00FB20F2" w:rsidRDefault="0095520D" w:rsidP="00E03367">
      <w:r w:rsidRPr="00FB20F2">
        <w:t xml:space="preserve">You may think that I have a cynical approach to the idea of trust, but if I do, so also does the </w:t>
      </w:r>
      <w:r w:rsidR="003E154E" w:rsidRPr="00FB20F2">
        <w:lastRenderedPageBreak/>
        <w:t xml:space="preserve">United States </w:t>
      </w:r>
      <w:r w:rsidRPr="00FB20F2">
        <w:t xml:space="preserve">legal system.  The idea of trust in a legal sense is illustrated at length in </w:t>
      </w:r>
      <w:r w:rsidRPr="00FB20F2">
        <w:rPr>
          <w:i/>
        </w:rPr>
        <w:t>Black’s Law Dictionary</w:t>
      </w:r>
      <w:r w:rsidRPr="00FB20F2">
        <w:t>.  One of the definitions refers to the noun, trust, as a legal agreement to form a comb</w:t>
      </w:r>
      <w:r w:rsidR="000B28A7" w:rsidRPr="00FB20F2">
        <w:t>ination of firms or corporations, especially ones that threaten to reduce competition.  In fact, the legal system includes a slew of so-called “anti-trust laws.”  Clearly, many people do not accept that the term “trust” conveys all that is good.</w:t>
      </w:r>
    </w:p>
    <w:p w:rsidR="000B28A7" w:rsidRPr="00FB20F2" w:rsidRDefault="000B28A7" w:rsidP="00E03367"/>
    <w:p w:rsidR="00650678" w:rsidRPr="00FB20F2" w:rsidRDefault="000B28A7" w:rsidP="00E03367">
      <w:r w:rsidRPr="00FB20F2">
        <w:t xml:space="preserve">But, of course, the most common use of the term is one that conveys much that is good.  Countless generations of parents </w:t>
      </w:r>
      <w:r w:rsidR="003E154E" w:rsidRPr="00FB20F2">
        <w:t xml:space="preserve">have urged </w:t>
      </w:r>
      <w:r w:rsidR="00D0274F" w:rsidRPr="00FB20F2">
        <w:t xml:space="preserve">countless </w:t>
      </w:r>
      <w:r w:rsidR="003E154E" w:rsidRPr="00FB20F2">
        <w:t xml:space="preserve">generations of </w:t>
      </w:r>
      <w:r w:rsidRPr="00FB20F2">
        <w:t>children to make certain that they “trust” a potential spouse before deciding to walk down the aisle.  And, in the business world</w:t>
      </w:r>
      <w:r w:rsidR="003E154E" w:rsidRPr="00FB20F2">
        <w:t xml:space="preserve"> – the private sector, </w:t>
      </w:r>
      <w:r w:rsidRPr="00FB20F2">
        <w:t>government, and military</w:t>
      </w:r>
      <w:r w:rsidR="00B039A1" w:rsidRPr="00FB20F2">
        <w:t xml:space="preserve"> – </w:t>
      </w:r>
      <w:r w:rsidRPr="00FB20F2">
        <w:t xml:space="preserve">“trust” is </w:t>
      </w:r>
      <w:r w:rsidR="003E154E" w:rsidRPr="00FB20F2">
        <w:t xml:space="preserve">generally viewed as </w:t>
      </w:r>
      <w:r w:rsidRPr="00FB20F2">
        <w:t xml:space="preserve">either a positive force for good or a necessity </w:t>
      </w:r>
      <w:r w:rsidR="003E154E" w:rsidRPr="00FB20F2">
        <w:t xml:space="preserve">attribute </w:t>
      </w:r>
      <w:r w:rsidRPr="00FB20F2">
        <w:t>for good order and discipline</w:t>
      </w:r>
      <w:r w:rsidR="003E154E" w:rsidRPr="00FB20F2">
        <w:t xml:space="preserve">.  Some amount of trust is thought to be needed to execute </w:t>
      </w:r>
      <w:r w:rsidR="00A441E9" w:rsidRPr="00FB20F2">
        <w:t xml:space="preserve">even </w:t>
      </w:r>
      <w:r w:rsidR="00B039A1" w:rsidRPr="00FB20F2">
        <w:t xml:space="preserve">the most pedestrian of </w:t>
      </w:r>
      <w:r w:rsidR="003E154E" w:rsidRPr="00FB20F2">
        <w:t>business transaction</w:t>
      </w:r>
      <w:r w:rsidR="00B039A1" w:rsidRPr="00FB20F2">
        <w:t>s</w:t>
      </w:r>
      <w:r w:rsidR="003E154E" w:rsidRPr="00FB20F2">
        <w:t>.</w:t>
      </w:r>
    </w:p>
    <w:p w:rsidR="000B28A7" w:rsidRPr="00FB20F2" w:rsidRDefault="000B28A7" w:rsidP="00E03367"/>
    <w:p w:rsidR="00610E50" w:rsidRPr="00FB20F2" w:rsidRDefault="000B28A7" w:rsidP="00A642BD">
      <w:pPr>
        <w:rPr>
          <w:w w:val="115"/>
        </w:rPr>
      </w:pPr>
      <w:r w:rsidRPr="00FB20F2">
        <w:rPr>
          <w:w w:val="115"/>
        </w:rPr>
        <w:t>So, we may be able to accept that there exists a spectrum of formulations for what we mean by “trust.”  I hope that the reader</w:t>
      </w:r>
      <w:r w:rsidR="00B039A1" w:rsidRPr="00FB20F2">
        <w:rPr>
          <w:w w:val="115"/>
        </w:rPr>
        <w:t>s</w:t>
      </w:r>
      <w:r w:rsidRPr="00FB20F2">
        <w:rPr>
          <w:w w:val="115"/>
        </w:rPr>
        <w:t xml:space="preserve"> of this short paper will join me in talking about the definition of trust.</w:t>
      </w:r>
      <w:r w:rsidR="008651FB" w:rsidRPr="00FB20F2">
        <w:rPr>
          <w:w w:val="115"/>
        </w:rPr>
        <w:t xml:space="preserve">  Whether or not you feel that you have the corner on the understanding of “trust,” please do share.  We</w:t>
      </w:r>
      <w:r w:rsidR="0052751C" w:rsidRPr="00FB20F2">
        <w:rPr>
          <w:w w:val="115"/>
        </w:rPr>
        <w:t xml:space="preserve">, after all, </w:t>
      </w:r>
      <w:r w:rsidR="008651FB" w:rsidRPr="00FB20F2">
        <w:rPr>
          <w:w w:val="115"/>
        </w:rPr>
        <w:t>are all friends or c</w:t>
      </w:r>
      <w:r w:rsidR="00B75342" w:rsidRPr="00FB20F2">
        <w:rPr>
          <w:w w:val="115"/>
        </w:rPr>
        <w:t>olleagues interested in elevating political discourse</w:t>
      </w:r>
      <w:r w:rsidR="00A642BD">
        <w:rPr>
          <w:w w:val="115"/>
        </w:rPr>
        <w:t>.  So</w:t>
      </w:r>
      <w:r w:rsidR="008651FB" w:rsidRPr="00FB20F2">
        <w:rPr>
          <w:w w:val="115"/>
        </w:rPr>
        <w:t xml:space="preserve"> </w:t>
      </w:r>
      <w:r w:rsidR="00A642BD">
        <w:rPr>
          <w:w w:val="115"/>
        </w:rPr>
        <w:t xml:space="preserve">please </w:t>
      </w:r>
      <w:r w:rsidR="008651FB" w:rsidRPr="00FB20F2">
        <w:rPr>
          <w:w w:val="115"/>
        </w:rPr>
        <w:t xml:space="preserve">be assured that you can trust </w:t>
      </w:r>
      <w:r w:rsidR="00B75342" w:rsidRPr="00FB20F2">
        <w:rPr>
          <w:w w:val="115"/>
        </w:rPr>
        <w:t>those gathered tonight</w:t>
      </w:r>
      <w:r w:rsidR="008651FB" w:rsidRPr="00FB20F2">
        <w:rPr>
          <w:w w:val="115"/>
        </w:rPr>
        <w:t>!</w:t>
      </w:r>
    </w:p>
    <w:p w:rsidR="00610E50" w:rsidRPr="00FB20F2" w:rsidRDefault="00610E50" w:rsidP="00E03367">
      <w:pPr>
        <w:rPr>
          <w:w w:val="115"/>
        </w:rPr>
      </w:pPr>
    </w:p>
    <w:p w:rsidR="00A3438A" w:rsidRPr="00A642BD" w:rsidRDefault="00610E50" w:rsidP="00E03367">
      <w:pPr>
        <w:rPr>
          <w:b/>
          <w:w w:val="115"/>
        </w:rPr>
      </w:pPr>
      <w:r w:rsidRPr="00A642BD">
        <w:rPr>
          <w:b/>
          <w:w w:val="115"/>
        </w:rPr>
        <w:t xml:space="preserve">Modeling </w:t>
      </w:r>
      <w:r w:rsidR="00D0274F" w:rsidRPr="00A642BD">
        <w:rPr>
          <w:b/>
          <w:w w:val="115"/>
        </w:rPr>
        <w:t xml:space="preserve">for </w:t>
      </w:r>
      <w:r w:rsidRPr="00A642BD">
        <w:rPr>
          <w:b/>
          <w:w w:val="115"/>
        </w:rPr>
        <w:t xml:space="preserve">a </w:t>
      </w:r>
      <w:r w:rsidR="00A3438A" w:rsidRPr="00A642BD">
        <w:rPr>
          <w:b/>
          <w:w w:val="115"/>
        </w:rPr>
        <w:t>Robust Understanding of Trust</w:t>
      </w:r>
    </w:p>
    <w:p w:rsidR="00A3438A" w:rsidRPr="00FB20F2" w:rsidRDefault="00A3438A" w:rsidP="00E03367">
      <w:pPr>
        <w:rPr>
          <w:w w:val="115"/>
        </w:rPr>
      </w:pPr>
    </w:p>
    <w:p w:rsidR="00EC260C" w:rsidRDefault="00A3438A" w:rsidP="00E03367">
      <w:pPr>
        <w:rPr>
          <w:w w:val="115"/>
        </w:rPr>
      </w:pPr>
      <w:r w:rsidRPr="00FB20F2">
        <w:rPr>
          <w:w w:val="115"/>
        </w:rPr>
        <w:t>I propose</w:t>
      </w:r>
      <w:r w:rsidR="00A642BD">
        <w:rPr>
          <w:w w:val="115"/>
        </w:rPr>
        <w:t xml:space="preserve"> for consideration</w:t>
      </w:r>
      <w:r w:rsidRPr="00FB20F2">
        <w:rPr>
          <w:w w:val="115"/>
        </w:rPr>
        <w:t xml:space="preserve"> </w:t>
      </w:r>
      <w:r w:rsidR="00B75342" w:rsidRPr="00FB20F2">
        <w:rPr>
          <w:w w:val="115"/>
        </w:rPr>
        <w:t>a trust model</w:t>
      </w:r>
      <w:r w:rsidR="00A642BD">
        <w:rPr>
          <w:w w:val="115"/>
        </w:rPr>
        <w:t xml:space="preserve"> </w:t>
      </w:r>
      <w:r w:rsidR="009A786E">
        <w:rPr>
          <w:w w:val="115"/>
        </w:rPr>
        <w:t xml:space="preserve">(on page 3) </w:t>
      </w:r>
      <w:r w:rsidR="00A642BD">
        <w:rPr>
          <w:w w:val="115"/>
        </w:rPr>
        <w:t xml:space="preserve">that I have adapted for our purposes from </w:t>
      </w:r>
      <w:r w:rsidR="00A642BD" w:rsidRPr="00FB20F2">
        <w:rPr>
          <w:w w:val="115"/>
        </w:rPr>
        <w:t xml:space="preserve">“An Integrative Model of Organizational Trust,” </w:t>
      </w:r>
      <w:r w:rsidR="00614362">
        <w:rPr>
          <w:w w:val="115"/>
        </w:rPr>
        <w:t xml:space="preserve">that three academics </w:t>
      </w:r>
      <w:r w:rsidR="00A642BD" w:rsidRPr="00FB20F2">
        <w:rPr>
          <w:w w:val="115"/>
        </w:rPr>
        <w:t xml:space="preserve">provided </w:t>
      </w:r>
      <w:r w:rsidR="00614362">
        <w:rPr>
          <w:w w:val="115"/>
        </w:rPr>
        <w:t xml:space="preserve">to the canon of management literature more than </w:t>
      </w:r>
      <w:r w:rsidR="00A642BD" w:rsidRPr="00FB20F2">
        <w:rPr>
          <w:w w:val="115"/>
        </w:rPr>
        <w:t>two decades ago.</w:t>
      </w:r>
      <w:r w:rsidR="00A642BD" w:rsidRPr="00A642BD">
        <w:rPr>
          <w:rStyle w:val="FootnoteReference"/>
          <w:w w:val="115"/>
        </w:rPr>
        <w:footnoteReference w:id="1"/>
      </w:r>
      <w:r w:rsidR="00A642BD">
        <w:rPr>
          <w:w w:val="115"/>
        </w:rPr>
        <w:t xml:space="preserve">  </w:t>
      </w:r>
      <w:r w:rsidR="00A642BD" w:rsidRPr="00FB20F2">
        <w:rPr>
          <w:w w:val="115"/>
        </w:rPr>
        <w:t xml:space="preserve">As the name of the original model suggests, the authors intended that the model apply to organizations.  My adaptation </w:t>
      </w:r>
      <w:r w:rsidR="00A642BD">
        <w:rPr>
          <w:w w:val="115"/>
        </w:rPr>
        <w:t>includes a feedback mechanism that was not proposed in the original model</w:t>
      </w:r>
      <w:r w:rsidR="00614362">
        <w:rPr>
          <w:w w:val="115"/>
        </w:rPr>
        <w:t xml:space="preserve">, and </w:t>
      </w:r>
      <w:r w:rsidR="00A642BD">
        <w:rPr>
          <w:w w:val="115"/>
        </w:rPr>
        <w:t xml:space="preserve">I apply </w:t>
      </w:r>
      <w:r w:rsidR="00614362">
        <w:rPr>
          <w:w w:val="115"/>
        </w:rPr>
        <w:t xml:space="preserve">the model to </w:t>
      </w:r>
      <w:r w:rsidR="00A642BD" w:rsidRPr="00FB20F2">
        <w:rPr>
          <w:w w:val="115"/>
        </w:rPr>
        <w:t>individuals</w:t>
      </w:r>
      <w:r w:rsidR="00EC260C">
        <w:rPr>
          <w:w w:val="115"/>
        </w:rPr>
        <w:t xml:space="preserve"> </w:t>
      </w:r>
      <w:r w:rsidR="00614362">
        <w:rPr>
          <w:w w:val="115"/>
        </w:rPr>
        <w:t xml:space="preserve">and collectives of individuals in </w:t>
      </w:r>
      <w:r w:rsidR="00EC260C">
        <w:rPr>
          <w:w w:val="115"/>
        </w:rPr>
        <w:t xml:space="preserve">a political context.  </w:t>
      </w:r>
    </w:p>
    <w:p w:rsidR="00EC260C" w:rsidRDefault="00EC260C" w:rsidP="00E03367">
      <w:pPr>
        <w:rPr>
          <w:w w:val="115"/>
        </w:rPr>
      </w:pPr>
    </w:p>
    <w:p w:rsidR="00274F1D" w:rsidRPr="00FB20F2" w:rsidRDefault="00EC260C" w:rsidP="00E03367">
      <w:pPr>
        <w:rPr>
          <w:w w:val="115"/>
        </w:rPr>
      </w:pPr>
      <w:r>
        <w:rPr>
          <w:w w:val="115"/>
        </w:rPr>
        <w:t>My expectation is not that all participants will accept the model outright</w:t>
      </w:r>
      <w:r w:rsidR="00614362">
        <w:rPr>
          <w:w w:val="115"/>
        </w:rPr>
        <w:t>; r</w:t>
      </w:r>
      <w:r>
        <w:rPr>
          <w:w w:val="115"/>
        </w:rPr>
        <w:t xml:space="preserve">ather, I hope that the model serves to help us to </w:t>
      </w:r>
      <w:r w:rsidR="00B75342" w:rsidRPr="00FB20F2">
        <w:rPr>
          <w:w w:val="115"/>
        </w:rPr>
        <w:t xml:space="preserve">determine a workable definition of trust – one that might help us to speak descriptively and prescriptively about </w:t>
      </w:r>
      <w:r w:rsidR="00A441E9" w:rsidRPr="00FB20F2">
        <w:rPr>
          <w:w w:val="115"/>
        </w:rPr>
        <w:t>declared candidates f</w:t>
      </w:r>
      <w:r w:rsidR="00B75342" w:rsidRPr="00FB20F2">
        <w:rPr>
          <w:w w:val="115"/>
        </w:rPr>
        <w:t xml:space="preserve">or public office or those </w:t>
      </w:r>
      <w:r w:rsidR="00A441E9" w:rsidRPr="00FB20F2">
        <w:rPr>
          <w:w w:val="115"/>
        </w:rPr>
        <w:t>w</w:t>
      </w:r>
      <w:r w:rsidR="00B75342" w:rsidRPr="00FB20F2">
        <w:rPr>
          <w:w w:val="115"/>
        </w:rPr>
        <w:t>e wish would</w:t>
      </w:r>
      <w:r w:rsidR="00A441E9" w:rsidRPr="00FB20F2">
        <w:rPr>
          <w:w w:val="115"/>
        </w:rPr>
        <w:t xml:space="preserve"> declare their intent to run!</w:t>
      </w:r>
      <w:r w:rsidR="00A642BD">
        <w:rPr>
          <w:w w:val="115"/>
        </w:rPr>
        <w:t xml:space="preserve"> </w:t>
      </w:r>
      <w:r w:rsidR="00D0274F" w:rsidRPr="00FB20F2">
        <w:rPr>
          <w:w w:val="115"/>
        </w:rPr>
        <w:t xml:space="preserve">For our discussion, a political candidate or a potential candidate </w:t>
      </w:r>
      <w:r w:rsidR="00614362">
        <w:rPr>
          <w:w w:val="115"/>
        </w:rPr>
        <w:t xml:space="preserve">is called a </w:t>
      </w:r>
      <w:r w:rsidR="00D0274F" w:rsidRPr="00FB20F2">
        <w:rPr>
          <w:w w:val="115"/>
        </w:rPr>
        <w:t>“trustee”</w:t>
      </w:r>
      <w:r w:rsidR="0052751C" w:rsidRPr="00FB20F2">
        <w:rPr>
          <w:w w:val="115"/>
        </w:rPr>
        <w:t xml:space="preserve"> – a person </w:t>
      </w:r>
      <w:r w:rsidR="00614362">
        <w:rPr>
          <w:w w:val="115"/>
        </w:rPr>
        <w:t xml:space="preserve">to </w:t>
      </w:r>
      <w:r w:rsidR="0052751C" w:rsidRPr="00FB20F2">
        <w:rPr>
          <w:w w:val="115"/>
        </w:rPr>
        <w:t>whom</w:t>
      </w:r>
      <w:r>
        <w:rPr>
          <w:w w:val="115"/>
        </w:rPr>
        <w:t xml:space="preserve"> others might want </w:t>
      </w:r>
      <w:r w:rsidR="00614362">
        <w:rPr>
          <w:w w:val="115"/>
        </w:rPr>
        <w:t xml:space="preserve">place their </w:t>
      </w:r>
      <w:r>
        <w:rPr>
          <w:w w:val="115"/>
        </w:rPr>
        <w:t xml:space="preserve">trust, while </w:t>
      </w:r>
      <w:r w:rsidR="00614362">
        <w:rPr>
          <w:w w:val="115"/>
        </w:rPr>
        <w:t xml:space="preserve">members of </w:t>
      </w:r>
      <w:r>
        <w:rPr>
          <w:w w:val="115"/>
        </w:rPr>
        <w:t>the voting public</w:t>
      </w:r>
      <w:r w:rsidR="00614362">
        <w:rPr>
          <w:w w:val="115"/>
        </w:rPr>
        <w:t xml:space="preserve">, those wanting to place their trust in others, are </w:t>
      </w:r>
      <w:r>
        <w:rPr>
          <w:w w:val="115"/>
        </w:rPr>
        <w:t>referred to as “</w:t>
      </w:r>
      <w:proofErr w:type="spellStart"/>
      <w:r>
        <w:rPr>
          <w:w w:val="115"/>
        </w:rPr>
        <w:t>trustors</w:t>
      </w:r>
      <w:proofErr w:type="spellEnd"/>
      <w:r>
        <w:rPr>
          <w:w w:val="115"/>
        </w:rPr>
        <w:t>.”</w:t>
      </w:r>
    </w:p>
    <w:p w:rsidR="00274F1D" w:rsidRPr="00FB20F2" w:rsidRDefault="00274F1D" w:rsidP="00E03367">
      <w:pPr>
        <w:rPr>
          <w:w w:val="115"/>
        </w:rPr>
      </w:pPr>
    </w:p>
    <w:p w:rsidR="00274F1D" w:rsidRPr="00FB20F2" w:rsidRDefault="00274F1D" w:rsidP="00E03367">
      <w:r w:rsidRPr="00FB20F2">
        <w:t xml:space="preserve">The model clarifies that the trustee can build trust with </w:t>
      </w:r>
      <w:proofErr w:type="spellStart"/>
      <w:r w:rsidR="00EC260C">
        <w:t>trustors</w:t>
      </w:r>
      <w:proofErr w:type="spellEnd"/>
      <w:r w:rsidR="00EC260C">
        <w:t xml:space="preserve"> </w:t>
      </w:r>
      <w:r w:rsidRPr="00FB20F2">
        <w:t>only if indeed (s</w:t>
      </w:r>
      <w:proofErr w:type="gramStart"/>
      <w:r w:rsidRPr="00FB20F2">
        <w:t>)he</w:t>
      </w:r>
      <w:proofErr w:type="gramEnd"/>
      <w:r w:rsidRPr="00FB20F2">
        <w:t xml:space="preserve"> has – as personal attributes – the factors of trustworthiness: ability, benevolence and integrity.  The definitions of each term are not universally accepted, so this paper proposes the following.  Ability refers to competence and willingness of the trustee to assert that competence.  Benevolence, reasonably translated to mean charitableness towards others, implies that the trustee’s values are essentially al</w:t>
      </w:r>
      <w:r w:rsidR="00EC260C">
        <w:t xml:space="preserve">igned with the </w:t>
      </w:r>
      <w:proofErr w:type="spellStart"/>
      <w:r w:rsidR="00EC260C">
        <w:t>trustors</w:t>
      </w:r>
      <w:proofErr w:type="spellEnd"/>
      <w:r w:rsidR="00EC260C">
        <w:t xml:space="preserve">’ values </w:t>
      </w:r>
      <w:r w:rsidRPr="00FB20F2">
        <w:t xml:space="preserve">or maybe, more to the point, to the values that reflect the ideals of the United States.   Integrity means that the candidate is honest and is consistent in </w:t>
      </w:r>
      <w:r w:rsidRPr="00FB20F2">
        <w:lastRenderedPageBreak/>
        <w:t>thought, purpose and action.</w:t>
      </w:r>
    </w:p>
    <w:p w:rsidR="00274F1D" w:rsidRPr="00FB20F2" w:rsidRDefault="00274F1D" w:rsidP="00E03367">
      <w:pPr>
        <w:pStyle w:val="BodyText"/>
        <w:rPr>
          <w:rFonts w:ascii="Times New Roman" w:hAnsi="Times New Roman"/>
          <w:w w:val="115"/>
        </w:rPr>
      </w:pPr>
    </w:p>
    <w:p w:rsidR="0052173B" w:rsidRPr="00FB20F2" w:rsidRDefault="0052173B" w:rsidP="00E03367">
      <w:pPr>
        <w:pStyle w:val="BodyText"/>
        <w:rPr>
          <w:rFonts w:ascii="Times New Roman" w:hAnsi="Times New Roman"/>
          <w:w w:val="115"/>
        </w:rPr>
      </w:pPr>
      <w:r w:rsidRPr="00FB20F2">
        <w:rPr>
          <w:rFonts w:ascii="Times New Roman" w:hAnsi="Times New Roman"/>
          <w:noProof/>
          <w:w w:val="115"/>
        </w:rPr>
        <w:drawing>
          <wp:inline distT="0" distB="0" distL="0" distR="0">
            <wp:extent cx="5747463" cy="2761036"/>
            <wp:effectExtent l="19050" t="0" r="5637" b="0"/>
            <wp:docPr id="4" name="Picture 2" descr="C:\Users\Matthew\Pictures\Trust re Political Firgures or Institutio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hew\Pictures\Trust re Political Firgures or Institutions (2).jpg"/>
                    <pic:cNvPicPr>
                      <a:picLocks noChangeAspect="1" noChangeArrowheads="1"/>
                    </pic:cNvPicPr>
                  </pic:nvPicPr>
                  <pic:blipFill>
                    <a:blip r:embed="rId8" cstate="print"/>
                    <a:srcRect/>
                    <a:stretch>
                      <a:fillRect/>
                    </a:stretch>
                  </pic:blipFill>
                  <pic:spPr bwMode="auto">
                    <a:xfrm>
                      <a:off x="0" y="0"/>
                      <a:ext cx="5752928" cy="2763661"/>
                    </a:xfrm>
                    <a:prstGeom prst="rect">
                      <a:avLst/>
                    </a:prstGeom>
                    <a:noFill/>
                    <a:ln w="9525">
                      <a:noFill/>
                      <a:miter lim="800000"/>
                      <a:headEnd/>
                      <a:tailEnd/>
                    </a:ln>
                  </pic:spPr>
                </pic:pic>
              </a:graphicData>
            </a:graphic>
          </wp:inline>
        </w:drawing>
      </w:r>
    </w:p>
    <w:p w:rsidR="007315AF" w:rsidRPr="00FB20F2" w:rsidRDefault="001F3B6B" w:rsidP="00E03367">
      <w:r w:rsidRPr="00FB20F2">
        <w:t>H</w:t>
      </w:r>
      <w:r w:rsidR="007315AF" w:rsidRPr="00FB20F2">
        <w:t>aving the desired traits</w:t>
      </w:r>
      <w:r w:rsidRPr="00FB20F2">
        <w:t>, however,</w:t>
      </w:r>
      <w:r w:rsidR="007315AF" w:rsidRPr="00FB20F2">
        <w:t xml:space="preserve"> is not enough.  A candidate who personifies the attributes or factors of trustworthiness will not </w:t>
      </w:r>
      <w:r w:rsidRPr="00FB20F2">
        <w:t>b</w:t>
      </w:r>
      <w:r w:rsidR="007315AF" w:rsidRPr="00FB20F2">
        <w:t>e</w:t>
      </w:r>
      <w:r w:rsidRPr="00FB20F2">
        <w:t xml:space="preserve"> </w:t>
      </w:r>
      <w:r w:rsidR="007315AF" w:rsidRPr="00FB20F2">
        <w:t>trust</w:t>
      </w:r>
      <w:r w:rsidRPr="00FB20F2">
        <w:t>ed</w:t>
      </w:r>
      <w:r w:rsidR="007315AF" w:rsidRPr="00FB20F2">
        <w:t xml:space="preserve"> unless </w:t>
      </w:r>
      <w:r w:rsidRPr="00FB20F2">
        <w:t>(s</w:t>
      </w:r>
      <w:proofErr w:type="gramStart"/>
      <w:r w:rsidRPr="00FB20F2">
        <w:t>)</w:t>
      </w:r>
      <w:r w:rsidR="007315AF" w:rsidRPr="00FB20F2">
        <w:t>he</w:t>
      </w:r>
      <w:proofErr w:type="gramEnd"/>
      <w:r w:rsidR="007315AF" w:rsidRPr="00FB20F2">
        <w:t xml:space="preserve"> is rightly perceived as </w:t>
      </w:r>
      <w:r w:rsidR="00536088" w:rsidRPr="00FB20F2">
        <w:t xml:space="preserve">embodying </w:t>
      </w:r>
      <w:r w:rsidR="007315AF" w:rsidRPr="00FB20F2">
        <w:t xml:space="preserve">those attributes or factors.  </w:t>
      </w:r>
      <w:r w:rsidRPr="00FB20F2">
        <w:t>T</w:t>
      </w:r>
      <w:r w:rsidR="007315AF" w:rsidRPr="00FB20F2">
        <w:t>h</w:t>
      </w:r>
      <w:r w:rsidRPr="00FB20F2">
        <w:t xml:space="preserve">e </w:t>
      </w:r>
      <w:r w:rsidR="007315AF" w:rsidRPr="00FB20F2">
        <w:t>perceptions</w:t>
      </w:r>
      <w:r w:rsidRPr="00FB20F2">
        <w:t xml:space="preserve">, in turn, </w:t>
      </w:r>
      <w:r w:rsidR="007315AF" w:rsidRPr="00FB20F2">
        <w:t xml:space="preserve">are shaped by outcomes – results people </w:t>
      </w:r>
      <w:r w:rsidR="00273AE7" w:rsidRPr="00FB20F2">
        <w:t xml:space="preserve">observe </w:t>
      </w:r>
      <w:r w:rsidR="00614362">
        <w:t xml:space="preserve">of a </w:t>
      </w:r>
      <w:proofErr w:type="spellStart"/>
      <w:r w:rsidR="00614362">
        <w:t>trustor</w:t>
      </w:r>
      <w:proofErr w:type="spellEnd"/>
      <w:r w:rsidR="00614362">
        <w:t xml:space="preserve"> either benefit</w:t>
      </w:r>
      <w:r w:rsidR="00EB38F1">
        <w:t xml:space="preserve">ting </w:t>
      </w:r>
      <w:r w:rsidR="00614362">
        <w:t>from or suffer</w:t>
      </w:r>
      <w:r w:rsidR="00EB38F1">
        <w:t>ing</w:t>
      </w:r>
      <w:r w:rsidR="00614362">
        <w:t xml:space="preserve"> from having </w:t>
      </w:r>
      <w:r w:rsidR="00273AE7" w:rsidRPr="00FB20F2">
        <w:t xml:space="preserve">trusted a </w:t>
      </w:r>
      <w:r w:rsidR="007315AF" w:rsidRPr="00FB20F2">
        <w:t>truste</w:t>
      </w:r>
      <w:r w:rsidR="00273AE7" w:rsidRPr="00FB20F2">
        <w:t>e</w:t>
      </w:r>
      <w:r w:rsidR="00536088" w:rsidRPr="00FB20F2">
        <w:t xml:space="preserve">.  </w:t>
      </w:r>
      <w:r w:rsidR="007315AF" w:rsidRPr="00FB20F2">
        <w:t xml:space="preserve">Thus, </w:t>
      </w:r>
      <w:r w:rsidR="00536088" w:rsidRPr="00FB20F2">
        <w:t>a political cam</w:t>
      </w:r>
      <w:r w:rsidR="007315AF" w:rsidRPr="00FB20F2">
        <w:t xml:space="preserve">paign will need to make extensive use of past examples where </w:t>
      </w:r>
      <w:r w:rsidR="00536088" w:rsidRPr="00FB20F2">
        <w:t xml:space="preserve">the trustee </w:t>
      </w:r>
      <w:r w:rsidR="00273AE7" w:rsidRPr="00FB20F2">
        <w:t xml:space="preserve">exhibited </w:t>
      </w:r>
      <w:r w:rsidR="00536088" w:rsidRPr="00FB20F2">
        <w:t xml:space="preserve">her or </w:t>
      </w:r>
      <w:r w:rsidR="007315AF" w:rsidRPr="00FB20F2">
        <w:t xml:space="preserve">his ability, benevolence and integrity </w:t>
      </w:r>
      <w:r w:rsidR="00273AE7" w:rsidRPr="00FB20F2">
        <w:t xml:space="preserve">to benefit </w:t>
      </w:r>
      <w:proofErr w:type="spellStart"/>
      <w:r w:rsidR="00273AE7" w:rsidRPr="00FB20F2">
        <w:t>trustor</w:t>
      </w:r>
      <w:r w:rsidR="00EC260C">
        <w:t>s</w:t>
      </w:r>
      <w:proofErr w:type="spellEnd"/>
      <w:r w:rsidR="00273AE7" w:rsidRPr="00FB20F2">
        <w:t>.</w:t>
      </w:r>
    </w:p>
    <w:p w:rsidR="007315AF" w:rsidRPr="00FB20F2" w:rsidRDefault="007315AF" w:rsidP="00E03367"/>
    <w:p w:rsidR="007315AF" w:rsidRPr="00FB20F2" w:rsidRDefault="00EB38F1" w:rsidP="00E03367">
      <w:r>
        <w:t>A</w:t>
      </w:r>
      <w:r w:rsidR="007315AF" w:rsidRPr="00FB20F2">
        <w:t xml:space="preserve">s the model also shows, no matter how </w:t>
      </w:r>
      <w:r w:rsidR="009A786E">
        <w:t xml:space="preserve">robust </w:t>
      </w:r>
      <w:r w:rsidR="007315AF" w:rsidRPr="00FB20F2">
        <w:t>th</w:t>
      </w:r>
      <w:r w:rsidR="00536088" w:rsidRPr="00FB20F2">
        <w:t xml:space="preserve">e campaign or </w:t>
      </w:r>
      <w:r w:rsidR="009A786E">
        <w:t xml:space="preserve">how well </w:t>
      </w:r>
      <w:r w:rsidR="00536088" w:rsidRPr="00FB20F2">
        <w:t xml:space="preserve">the </w:t>
      </w:r>
      <w:r w:rsidR="007315AF" w:rsidRPr="00FB20F2">
        <w:t xml:space="preserve">trustee </w:t>
      </w:r>
      <w:r w:rsidR="00536088" w:rsidRPr="00FB20F2">
        <w:t xml:space="preserve">herself or </w:t>
      </w:r>
      <w:r w:rsidR="007315AF" w:rsidRPr="00FB20F2">
        <w:t xml:space="preserve">himself is able to communicate </w:t>
      </w:r>
      <w:r w:rsidR="00536088" w:rsidRPr="00FB20F2">
        <w:t xml:space="preserve">her or his </w:t>
      </w:r>
      <w:r w:rsidR="007315AF" w:rsidRPr="00FB20F2">
        <w:t>trustworth</w:t>
      </w:r>
      <w:r w:rsidR="00536088" w:rsidRPr="00FB20F2">
        <w:t>iness</w:t>
      </w:r>
      <w:r w:rsidR="007315AF" w:rsidRPr="00FB20F2">
        <w:t xml:space="preserve">, </w:t>
      </w:r>
      <w:r w:rsidR="00536088" w:rsidRPr="00FB20F2">
        <w:t>(s</w:t>
      </w:r>
      <w:proofErr w:type="gramStart"/>
      <w:r w:rsidR="00536088" w:rsidRPr="00FB20F2">
        <w:t>)</w:t>
      </w:r>
      <w:r w:rsidR="007315AF" w:rsidRPr="00FB20F2">
        <w:t>he</w:t>
      </w:r>
      <w:proofErr w:type="gramEnd"/>
      <w:r w:rsidR="007315AF" w:rsidRPr="00FB20F2">
        <w:t xml:space="preserve"> </w:t>
      </w:r>
      <w:r w:rsidR="00536088" w:rsidRPr="00FB20F2">
        <w:t xml:space="preserve">is unlikely to </w:t>
      </w:r>
      <w:r w:rsidR="007315AF" w:rsidRPr="00FB20F2">
        <w:t xml:space="preserve">be trusted if the voting public harbors a very low propensity to trust.  Here again, the way to </w:t>
      </w:r>
      <w:r w:rsidR="00273AE7" w:rsidRPr="00FB20F2">
        <w:t xml:space="preserve">increase </w:t>
      </w:r>
      <w:proofErr w:type="spellStart"/>
      <w:r w:rsidR="00273AE7" w:rsidRPr="00FB20F2">
        <w:t>trustors</w:t>
      </w:r>
      <w:proofErr w:type="spellEnd"/>
      <w:r w:rsidR="00273AE7" w:rsidRPr="00FB20F2">
        <w:t xml:space="preserve">’ </w:t>
      </w:r>
      <w:r w:rsidR="007315AF" w:rsidRPr="00FB20F2">
        <w:t xml:space="preserve">propensity to trust is through generating and publicizing favorable outcomes.  </w:t>
      </w:r>
      <w:proofErr w:type="spellStart"/>
      <w:r w:rsidR="00273AE7" w:rsidRPr="00FB20F2">
        <w:t>Trustors</w:t>
      </w:r>
      <w:proofErr w:type="spellEnd"/>
      <w:r w:rsidR="00273AE7" w:rsidRPr="00FB20F2">
        <w:t xml:space="preserve">’ </w:t>
      </w:r>
      <w:r w:rsidR="007315AF" w:rsidRPr="00FB20F2">
        <w:t xml:space="preserve">propensity will increase as they witness successful </w:t>
      </w:r>
      <w:r w:rsidR="00273AE7" w:rsidRPr="00FB20F2">
        <w:t xml:space="preserve">outcomes that result from </w:t>
      </w:r>
      <w:r w:rsidR="007315AF" w:rsidRPr="00FB20F2">
        <w:t>providing whatever initial degree of trust they might afford a candidate.</w:t>
      </w:r>
    </w:p>
    <w:p w:rsidR="007315AF" w:rsidRPr="00FB20F2" w:rsidRDefault="007315AF" w:rsidP="00E03367"/>
    <w:p w:rsidR="007315AF" w:rsidRPr="00FB20F2" w:rsidRDefault="007315AF" w:rsidP="00E03367">
      <w:r w:rsidRPr="00FB20F2">
        <w:t xml:space="preserve">Overcoming the low propensity to trust in government or </w:t>
      </w:r>
      <w:r w:rsidR="00CB4A65">
        <w:t xml:space="preserve">in </w:t>
      </w:r>
      <w:r w:rsidRPr="00FB20F2">
        <w:t xml:space="preserve">anyone having been in government or </w:t>
      </w:r>
      <w:r w:rsidR="00CB4A65">
        <w:t xml:space="preserve">in </w:t>
      </w:r>
      <w:r w:rsidRPr="00FB20F2">
        <w:t>anyone campaigning to govern</w:t>
      </w:r>
      <w:r w:rsidR="00EB38F1">
        <w:t xml:space="preserve"> </w:t>
      </w:r>
      <w:r w:rsidRPr="00FB20F2">
        <w:t>represents an enormous challenge for two reasons.  First, delivering outcomes takes time</w:t>
      </w:r>
      <w:r w:rsidR="00EB38F1">
        <w:t xml:space="preserve">; </w:t>
      </w:r>
      <w:r w:rsidRPr="00FB20F2">
        <w:t xml:space="preserve">people’s impatience may get in the way.  To counter that problem, a </w:t>
      </w:r>
      <w:r w:rsidR="00536088" w:rsidRPr="00FB20F2">
        <w:t xml:space="preserve">political candidate </w:t>
      </w:r>
      <w:r w:rsidRPr="00FB20F2">
        <w:t xml:space="preserve">may </w:t>
      </w:r>
      <w:r w:rsidR="00536088" w:rsidRPr="00FB20F2">
        <w:t>need to identify matters for which (s</w:t>
      </w:r>
      <w:proofErr w:type="gramStart"/>
      <w:r w:rsidR="00536088" w:rsidRPr="00FB20F2">
        <w:t>)he</w:t>
      </w:r>
      <w:proofErr w:type="gramEnd"/>
      <w:r w:rsidR="00536088" w:rsidRPr="00FB20F2">
        <w:t xml:space="preserve"> can </w:t>
      </w:r>
      <w:r w:rsidRPr="00FB20F2">
        <w:t>deliver a couple of quick victories</w:t>
      </w:r>
      <w:r w:rsidR="00536088" w:rsidRPr="00FB20F2">
        <w:t xml:space="preserve"> if elected</w:t>
      </w:r>
      <w:r w:rsidRPr="00FB20F2">
        <w:t xml:space="preserve"> – even if those victories are rather modest.  The second problem may be more difficult to resolve.  The second problem is cultural.</w:t>
      </w:r>
    </w:p>
    <w:p w:rsidR="007315AF" w:rsidRPr="00FB20F2" w:rsidRDefault="007315AF" w:rsidP="00E03367"/>
    <w:p w:rsidR="007315AF" w:rsidRPr="00FB20F2" w:rsidRDefault="007315AF" w:rsidP="00E03367">
      <w:r w:rsidRPr="00FB20F2">
        <w:t xml:space="preserve">Americans’ propensity to trust is at rock bottom.  </w:t>
      </w:r>
      <w:r w:rsidRPr="00FB20F2">
        <w:rPr>
          <w:i/>
        </w:rPr>
        <w:t>The Economist</w:t>
      </w:r>
      <w:r w:rsidRPr="00FB20F2">
        <w:t xml:space="preserve"> magazine reports that polls indicate that the government is the least trusted institution.</w:t>
      </w:r>
      <w:r w:rsidRPr="00FB20F2">
        <w:rPr>
          <w:rStyle w:val="FootnoteReference"/>
        </w:rPr>
        <w:footnoteReference w:id="2"/>
      </w:r>
      <w:r w:rsidRPr="00FB20F2">
        <w:t xml:space="preserve">  Cynicism reigns, and public office holders have themselves added to the cynicism that breeds distrust.  We need only consider the words from the early 1980s that pronounced “government is the problem.”  That statement fertilized the idea that continues to </w:t>
      </w:r>
      <w:r w:rsidR="00273AE7" w:rsidRPr="00FB20F2">
        <w:t>c</w:t>
      </w:r>
      <w:r w:rsidRPr="00FB20F2">
        <w:t>ultivate</w:t>
      </w:r>
      <w:r w:rsidR="00273AE7" w:rsidRPr="00FB20F2">
        <w:t xml:space="preserve"> criticism tod</w:t>
      </w:r>
      <w:r w:rsidRPr="00FB20F2">
        <w:t xml:space="preserve">ay. </w:t>
      </w:r>
      <w:r w:rsidR="00EC260C">
        <w:t xml:space="preserve"> </w:t>
      </w:r>
      <w:r w:rsidRPr="00FB20F2">
        <w:t xml:space="preserve">We now </w:t>
      </w:r>
      <w:r w:rsidR="00536088" w:rsidRPr="00FB20F2">
        <w:t xml:space="preserve">often witness </w:t>
      </w:r>
      <w:r w:rsidRPr="00FB20F2">
        <w:t xml:space="preserve">candidates for </w:t>
      </w:r>
      <w:r w:rsidR="00536088" w:rsidRPr="00FB20F2">
        <w:t xml:space="preserve">political office </w:t>
      </w:r>
      <w:r w:rsidRPr="00FB20F2">
        <w:t xml:space="preserve">belittling the very </w:t>
      </w:r>
      <w:r w:rsidR="00536088" w:rsidRPr="00FB20F2">
        <w:t xml:space="preserve">institutions </w:t>
      </w:r>
      <w:r w:rsidRPr="00FB20F2">
        <w:t xml:space="preserve">they </w:t>
      </w:r>
      <w:r w:rsidR="00536088" w:rsidRPr="00FB20F2">
        <w:t>endeavor t</w:t>
      </w:r>
      <w:r w:rsidRPr="00FB20F2">
        <w:t xml:space="preserve">o </w:t>
      </w:r>
      <w:r w:rsidR="00536088" w:rsidRPr="00FB20F2">
        <w:t>join.</w:t>
      </w:r>
      <w:r w:rsidR="00EC260C" w:rsidRPr="00EC260C">
        <w:rPr>
          <w:rStyle w:val="FootnoteReference"/>
        </w:rPr>
        <w:t xml:space="preserve"> </w:t>
      </w:r>
      <w:r w:rsidR="00EC260C" w:rsidRPr="00FB20F2">
        <w:rPr>
          <w:rStyle w:val="FootnoteReference"/>
        </w:rPr>
        <w:footnoteReference w:id="3"/>
      </w:r>
    </w:p>
    <w:p w:rsidR="007315AF" w:rsidRPr="00FB20F2" w:rsidRDefault="007315AF" w:rsidP="00E03367"/>
    <w:p w:rsidR="00273AE7" w:rsidRPr="00FB20F2" w:rsidRDefault="007315AF" w:rsidP="00E03367">
      <w:r w:rsidRPr="00FB20F2">
        <w:t>Finally, the model also includes the notion of risk.  The idea of risk – or b</w:t>
      </w:r>
      <w:r w:rsidR="00274F1D" w:rsidRPr="00FB20F2">
        <w:t xml:space="preserve">eing vulnerable – gives context to the model since neither trustworthiness nor </w:t>
      </w:r>
      <w:r w:rsidR="00EC260C">
        <w:t xml:space="preserve">any of </w:t>
      </w:r>
      <w:r w:rsidR="00274F1D" w:rsidRPr="00FB20F2">
        <w:t xml:space="preserve">the personal attributes or factors would be important if the </w:t>
      </w:r>
      <w:proofErr w:type="spellStart"/>
      <w:r w:rsidR="00274F1D" w:rsidRPr="00FB20F2">
        <w:t>trustor</w:t>
      </w:r>
      <w:proofErr w:type="spellEnd"/>
      <w:r w:rsidR="00274F1D" w:rsidRPr="00FB20F2">
        <w:t xml:space="preserve"> had nothing to lose.  In other words, if there is no vulnerability, no risk</w:t>
      </w:r>
      <w:r w:rsidR="005752FB" w:rsidRPr="00FB20F2">
        <w:t xml:space="preserve"> involved in a relationship</w:t>
      </w:r>
      <w:r w:rsidR="00274F1D" w:rsidRPr="00FB20F2">
        <w:t xml:space="preserve">, the </w:t>
      </w:r>
      <w:proofErr w:type="spellStart"/>
      <w:r w:rsidR="00274F1D" w:rsidRPr="00FB20F2">
        <w:t>trustor</w:t>
      </w:r>
      <w:proofErr w:type="spellEnd"/>
      <w:r w:rsidR="00274F1D" w:rsidRPr="00FB20F2">
        <w:t xml:space="preserve"> has </w:t>
      </w:r>
      <w:proofErr w:type="gramStart"/>
      <w:r w:rsidR="00274F1D" w:rsidRPr="00FB20F2">
        <w:t>no</w:t>
      </w:r>
      <w:proofErr w:type="gramEnd"/>
      <w:r w:rsidR="00274F1D" w:rsidRPr="00FB20F2">
        <w:t xml:space="preserve"> reason to care whether a trustee is indeed worthy of trust.  </w:t>
      </w:r>
      <w:r w:rsidR="00EC260C">
        <w:t>M</w:t>
      </w:r>
      <w:r w:rsidR="00274F1D" w:rsidRPr="00FB20F2">
        <w:t xml:space="preserve">ore starkly, the </w:t>
      </w:r>
      <w:proofErr w:type="spellStart"/>
      <w:r w:rsidR="00274F1D" w:rsidRPr="00FB20F2">
        <w:t>trustor</w:t>
      </w:r>
      <w:proofErr w:type="spellEnd"/>
      <w:r w:rsidR="00274F1D" w:rsidRPr="00FB20F2">
        <w:t xml:space="preserve"> </w:t>
      </w:r>
      <w:r w:rsidR="00EC260C">
        <w:t xml:space="preserve">would have </w:t>
      </w:r>
      <w:r w:rsidR="00274F1D" w:rsidRPr="00FB20F2">
        <w:t>no</w:t>
      </w:r>
      <w:r w:rsidR="005752FB" w:rsidRPr="00FB20F2">
        <w:t xml:space="preserve"> need to trust anyone.</w:t>
      </w:r>
      <w:r w:rsidR="00EB38F1">
        <w:t xml:space="preserve">  The model and the concepts it conveys just wouldn’t matter.</w:t>
      </w:r>
    </w:p>
    <w:p w:rsidR="00273AE7" w:rsidRPr="00FB20F2" w:rsidRDefault="00273AE7" w:rsidP="00E03367"/>
    <w:p w:rsidR="007315AF" w:rsidRPr="00FB20F2" w:rsidRDefault="00CB4A65" w:rsidP="00E03367">
      <w:r>
        <w:t xml:space="preserve">Existential or future risk also presents the candidate a possibility of illustrating her or his trustworthiness.  </w:t>
      </w:r>
      <w:r w:rsidR="007315AF" w:rsidRPr="00FB20F2">
        <w:t xml:space="preserve">A candidate who can communicate risk in a way that the plurality or majority of Americans understand </w:t>
      </w:r>
      <w:r w:rsidR="005752FB" w:rsidRPr="00FB20F2">
        <w:t xml:space="preserve">– </w:t>
      </w:r>
      <w:r w:rsidR="00EC260C">
        <w:t xml:space="preserve">in </w:t>
      </w:r>
      <w:r w:rsidR="005752FB" w:rsidRPr="00FB20F2">
        <w:t xml:space="preserve">a realistic, not sensational way – </w:t>
      </w:r>
      <w:r w:rsidR="00EC260C">
        <w:t xml:space="preserve">might </w:t>
      </w:r>
      <w:r w:rsidR="005752FB" w:rsidRPr="00FB20F2">
        <w:t xml:space="preserve">have a great advantage in an </w:t>
      </w:r>
      <w:r w:rsidR="007315AF" w:rsidRPr="00FB20F2">
        <w:t>election.  Doing so exhibit</w:t>
      </w:r>
      <w:r w:rsidR="005752FB" w:rsidRPr="00FB20F2">
        <w:t>s</w:t>
      </w:r>
      <w:r w:rsidR="007315AF" w:rsidRPr="00FB20F2">
        <w:t xml:space="preserve"> ability because</w:t>
      </w:r>
      <w:r w:rsidR="005752FB" w:rsidRPr="00FB20F2">
        <w:t xml:space="preserve"> a realistic </w:t>
      </w:r>
      <w:r w:rsidR="007315AF" w:rsidRPr="00FB20F2">
        <w:t>articulati</w:t>
      </w:r>
      <w:r>
        <w:t xml:space="preserve">on </w:t>
      </w:r>
      <w:r w:rsidR="007315AF" w:rsidRPr="00FB20F2">
        <w:t>i</w:t>
      </w:r>
      <w:r w:rsidR="005752FB" w:rsidRPr="00FB20F2">
        <w:t xml:space="preserve">llustrates </w:t>
      </w:r>
      <w:r w:rsidR="007315AF" w:rsidRPr="00FB20F2">
        <w:t>a</w:t>
      </w:r>
      <w:r>
        <w:t xml:space="preserve">n analytical </w:t>
      </w:r>
      <w:r w:rsidR="007315AF" w:rsidRPr="00FB20F2">
        <w:t xml:space="preserve">grasp of the nature and magnitude of </w:t>
      </w:r>
      <w:r>
        <w:t xml:space="preserve">conditions.  </w:t>
      </w:r>
      <w:r w:rsidR="005752FB" w:rsidRPr="00FB20F2">
        <w:t>A</w:t>
      </w:r>
      <w:r w:rsidR="007315AF" w:rsidRPr="00FB20F2">
        <w:t>void</w:t>
      </w:r>
      <w:r w:rsidR="005752FB" w:rsidRPr="00FB20F2">
        <w:t xml:space="preserve">ing </w:t>
      </w:r>
      <w:r w:rsidR="007315AF" w:rsidRPr="00FB20F2">
        <w:t>sensationalism</w:t>
      </w:r>
      <w:r w:rsidR="005752FB" w:rsidRPr="00FB20F2">
        <w:t xml:space="preserve"> also </w:t>
      </w:r>
      <w:r w:rsidR="007315AF" w:rsidRPr="00FB20F2">
        <w:t>illustrate</w:t>
      </w:r>
      <w:r w:rsidR="005752FB" w:rsidRPr="00FB20F2">
        <w:t>s</w:t>
      </w:r>
      <w:r w:rsidR="007315AF" w:rsidRPr="00FB20F2">
        <w:t xml:space="preserve"> integrity, as the American people tend to, over time, recognize fact from fiction</w:t>
      </w:r>
      <w:r w:rsidR="005752FB" w:rsidRPr="00FB20F2">
        <w:t xml:space="preserve">.  They recognize and appreciate </w:t>
      </w:r>
      <w:r w:rsidR="00EB38F1">
        <w:t xml:space="preserve">unvarnished </w:t>
      </w:r>
      <w:r w:rsidR="007315AF" w:rsidRPr="00FB20F2">
        <w:t xml:space="preserve">truth.  A relevant articulation of risk also implies benevolence since the candidate would, by definition, need to articulate the nature of the risk in terms of how the risks imperil </w:t>
      </w:r>
      <w:r w:rsidR="00EB38F1">
        <w:t>citizen</w:t>
      </w:r>
      <w:r w:rsidR="00EC260C">
        <w:t>s</w:t>
      </w:r>
      <w:r w:rsidR="00EB38F1">
        <w:t>’</w:t>
      </w:r>
      <w:r w:rsidR="00EC260C">
        <w:t xml:space="preserve"> </w:t>
      </w:r>
      <w:r w:rsidR="007315AF" w:rsidRPr="00FB20F2">
        <w:t xml:space="preserve">values – </w:t>
      </w:r>
      <w:r w:rsidR="00EC260C">
        <w:t xml:space="preserve">and </w:t>
      </w:r>
      <w:r w:rsidR="007315AF" w:rsidRPr="00FB20F2">
        <w:t xml:space="preserve">the hopes, dreams, or aspirations </w:t>
      </w:r>
      <w:r w:rsidR="00EC260C">
        <w:t>that stem from them.</w:t>
      </w:r>
      <w:r w:rsidR="007315AF" w:rsidRPr="00FB20F2">
        <w:t xml:space="preserve">  </w:t>
      </w:r>
    </w:p>
    <w:p w:rsidR="0052173B" w:rsidRPr="00FB20F2" w:rsidRDefault="0052173B" w:rsidP="00E03367">
      <w:pPr>
        <w:pStyle w:val="BodyText"/>
        <w:rPr>
          <w:rFonts w:ascii="Times New Roman" w:hAnsi="Times New Roman"/>
          <w:w w:val="115"/>
        </w:rPr>
      </w:pPr>
    </w:p>
    <w:p w:rsidR="00CB4A65" w:rsidRDefault="00CB4A65" w:rsidP="00C001E5">
      <w:pPr>
        <w:pStyle w:val="BodyText"/>
        <w:ind w:left="0"/>
        <w:rPr>
          <w:rFonts w:ascii="Times New Roman" w:hAnsi="Times New Roman"/>
        </w:rPr>
      </w:pPr>
      <w:r>
        <w:rPr>
          <w:rFonts w:ascii="Times New Roman" w:hAnsi="Times New Roman"/>
        </w:rPr>
        <w:t xml:space="preserve">Finally, </w:t>
      </w:r>
      <w:r w:rsidR="00A3438A" w:rsidRPr="00FB20F2">
        <w:rPr>
          <w:rFonts w:ascii="Times New Roman" w:hAnsi="Times New Roman"/>
        </w:rPr>
        <w:t xml:space="preserve">Mayer, Davis and </w:t>
      </w:r>
      <w:proofErr w:type="spellStart"/>
      <w:r w:rsidR="00A3438A" w:rsidRPr="00FB20F2">
        <w:rPr>
          <w:rFonts w:ascii="Times New Roman" w:hAnsi="Times New Roman"/>
        </w:rPr>
        <w:t>Schoorman</w:t>
      </w:r>
      <w:proofErr w:type="spellEnd"/>
      <w:r w:rsidR="00A3438A" w:rsidRPr="00FB20F2">
        <w:rPr>
          <w:rFonts w:ascii="Times New Roman" w:hAnsi="Times New Roman"/>
        </w:rPr>
        <w:t xml:space="preserve"> propose </w:t>
      </w:r>
      <w:r w:rsidR="00EC260C">
        <w:rPr>
          <w:rFonts w:ascii="Times New Roman" w:hAnsi="Times New Roman"/>
        </w:rPr>
        <w:t xml:space="preserve">a definition of trust that might serve as a </w:t>
      </w:r>
      <w:r w:rsidR="00D74191">
        <w:rPr>
          <w:rFonts w:ascii="Times New Roman" w:hAnsi="Times New Roman"/>
        </w:rPr>
        <w:t>fundamental point for us to absorb</w:t>
      </w:r>
      <w:r>
        <w:rPr>
          <w:rFonts w:ascii="Times New Roman" w:hAnsi="Times New Roman"/>
        </w:rPr>
        <w:t xml:space="preserve"> and to mull around for discussion.</w:t>
      </w:r>
      <w:r w:rsidR="00D74191">
        <w:rPr>
          <w:rFonts w:ascii="Times New Roman" w:hAnsi="Times New Roman"/>
        </w:rPr>
        <w:t xml:space="preserve">  They </w:t>
      </w:r>
      <w:r w:rsidR="00EB38F1">
        <w:rPr>
          <w:rFonts w:ascii="Times New Roman" w:hAnsi="Times New Roman"/>
        </w:rPr>
        <w:t xml:space="preserve">say </w:t>
      </w:r>
      <w:r w:rsidR="00D74191">
        <w:rPr>
          <w:rFonts w:ascii="Times New Roman" w:hAnsi="Times New Roman"/>
        </w:rPr>
        <w:t xml:space="preserve">that </w:t>
      </w:r>
      <w:r w:rsidR="00EB38F1">
        <w:rPr>
          <w:rFonts w:ascii="Times New Roman" w:hAnsi="Times New Roman"/>
        </w:rPr>
        <w:t xml:space="preserve">trust </w:t>
      </w:r>
      <w:r w:rsidR="00A3438A" w:rsidRPr="00FB20F2">
        <w:rPr>
          <w:rFonts w:ascii="Times New Roman" w:hAnsi="Times New Roman"/>
        </w:rPr>
        <w:t>is</w:t>
      </w:r>
      <w:r>
        <w:rPr>
          <w:rFonts w:ascii="Times New Roman" w:hAnsi="Times New Roman"/>
        </w:rPr>
        <w:t xml:space="preserve">… </w:t>
      </w:r>
    </w:p>
    <w:p w:rsidR="00CB4A65" w:rsidRDefault="00CB4A65" w:rsidP="00C001E5">
      <w:pPr>
        <w:pStyle w:val="BodyText"/>
        <w:ind w:left="0"/>
        <w:rPr>
          <w:rFonts w:ascii="Times New Roman" w:hAnsi="Times New Roman"/>
        </w:rPr>
      </w:pPr>
    </w:p>
    <w:p w:rsidR="00CB4A65" w:rsidRPr="00CB4A65" w:rsidRDefault="00A3438A" w:rsidP="00CB4A65">
      <w:pPr>
        <w:pStyle w:val="BodyText"/>
        <w:ind w:left="720" w:right="720"/>
        <w:jc w:val="center"/>
        <w:rPr>
          <w:rFonts w:ascii="Times New Roman" w:hAnsi="Times New Roman"/>
          <w:i/>
        </w:rPr>
      </w:pPr>
      <w:r w:rsidRPr="00CB4A65">
        <w:rPr>
          <w:rFonts w:ascii="Times New Roman" w:hAnsi="Times New Roman"/>
          <w:i/>
        </w:rPr>
        <w:t>“</w:t>
      </w:r>
      <w:r w:rsidR="007C63AC">
        <w:rPr>
          <w:rFonts w:ascii="Times New Roman" w:hAnsi="Times New Roman"/>
          <w:i/>
        </w:rPr>
        <w:t xml:space="preserve">… </w:t>
      </w:r>
      <w:proofErr w:type="gramStart"/>
      <w:r w:rsidRPr="00CB4A65">
        <w:rPr>
          <w:rFonts w:ascii="Times New Roman" w:hAnsi="Times New Roman"/>
          <w:i/>
        </w:rPr>
        <w:t>the</w:t>
      </w:r>
      <w:proofErr w:type="gramEnd"/>
      <w:r w:rsidRPr="00CB4A65">
        <w:rPr>
          <w:rFonts w:ascii="Times New Roman" w:hAnsi="Times New Roman"/>
          <w:i/>
        </w:rPr>
        <w:t xml:space="preserve"> willingness of a party to be vulnerable to the actions of another party based on the expectation that the other party will perform a particular action important to the </w:t>
      </w:r>
      <w:proofErr w:type="spellStart"/>
      <w:r w:rsidRPr="00CB4A65">
        <w:rPr>
          <w:rFonts w:ascii="Times New Roman" w:hAnsi="Times New Roman"/>
          <w:i/>
        </w:rPr>
        <w:t>trustor</w:t>
      </w:r>
      <w:proofErr w:type="spellEnd"/>
      <w:r w:rsidRPr="00CB4A65">
        <w:rPr>
          <w:rFonts w:ascii="Times New Roman" w:hAnsi="Times New Roman"/>
          <w:i/>
        </w:rPr>
        <w:t>, irrespective of the ability to monitor or control that other party.”</w:t>
      </w:r>
    </w:p>
    <w:p w:rsidR="00CB4A65" w:rsidRDefault="00CB4A65" w:rsidP="00C001E5">
      <w:pPr>
        <w:pStyle w:val="BodyText"/>
        <w:ind w:left="0"/>
        <w:rPr>
          <w:rFonts w:ascii="Times New Roman" w:hAnsi="Times New Roman"/>
        </w:rPr>
      </w:pPr>
    </w:p>
    <w:p w:rsidR="00D74191" w:rsidRDefault="00CB4A65" w:rsidP="00C001E5">
      <w:pPr>
        <w:pStyle w:val="BodyText"/>
        <w:ind w:left="0"/>
        <w:rPr>
          <w:rFonts w:ascii="Times New Roman" w:hAnsi="Times New Roman"/>
        </w:rPr>
      </w:pPr>
      <w:r>
        <w:rPr>
          <w:rFonts w:ascii="Times New Roman" w:hAnsi="Times New Roman"/>
        </w:rPr>
        <w:t>Q</w:t>
      </w:r>
      <w:r w:rsidR="00D74191">
        <w:rPr>
          <w:rFonts w:ascii="Times New Roman" w:hAnsi="Times New Roman"/>
        </w:rPr>
        <w:t xml:space="preserve">uestions that spring forth </w:t>
      </w:r>
      <w:r w:rsidR="00C825CC">
        <w:rPr>
          <w:rFonts w:ascii="Times New Roman" w:hAnsi="Times New Roman"/>
        </w:rPr>
        <w:t xml:space="preserve">might </w:t>
      </w:r>
      <w:r w:rsidR="00D74191">
        <w:rPr>
          <w:rFonts w:ascii="Times New Roman" w:hAnsi="Times New Roman"/>
        </w:rPr>
        <w:t>include…</w:t>
      </w:r>
    </w:p>
    <w:p w:rsidR="00D74191" w:rsidRDefault="00D74191" w:rsidP="00C001E5">
      <w:pPr>
        <w:pStyle w:val="BodyText"/>
        <w:ind w:left="0"/>
        <w:rPr>
          <w:rFonts w:ascii="Times New Roman" w:hAnsi="Times New Roman"/>
        </w:rPr>
      </w:pPr>
    </w:p>
    <w:p w:rsidR="00EB38F1" w:rsidRDefault="00EB38F1" w:rsidP="00C825CC">
      <w:pPr>
        <w:pStyle w:val="BodyText"/>
        <w:numPr>
          <w:ilvl w:val="0"/>
          <w:numId w:val="1"/>
        </w:numPr>
        <w:rPr>
          <w:rFonts w:ascii="Times New Roman" w:hAnsi="Times New Roman"/>
        </w:rPr>
      </w:pPr>
      <w:r>
        <w:rPr>
          <w:rFonts w:ascii="Times New Roman" w:hAnsi="Times New Roman"/>
        </w:rPr>
        <w:t>I</w:t>
      </w:r>
      <w:r w:rsidR="00C825CC">
        <w:rPr>
          <w:rFonts w:ascii="Times New Roman" w:hAnsi="Times New Roman"/>
        </w:rPr>
        <w:t>s</w:t>
      </w:r>
      <w:r>
        <w:rPr>
          <w:rFonts w:ascii="Times New Roman" w:hAnsi="Times New Roman"/>
        </w:rPr>
        <w:t xml:space="preserve"> the definition of trust that Mayer, Davis and </w:t>
      </w:r>
      <w:proofErr w:type="spellStart"/>
      <w:r>
        <w:rPr>
          <w:rFonts w:ascii="Times New Roman" w:hAnsi="Times New Roman"/>
        </w:rPr>
        <w:t>Schoorman</w:t>
      </w:r>
      <w:proofErr w:type="spellEnd"/>
      <w:r>
        <w:rPr>
          <w:rFonts w:ascii="Times New Roman" w:hAnsi="Times New Roman"/>
        </w:rPr>
        <w:t xml:space="preserve"> represent an improvement over the Webster dictionary defini</w:t>
      </w:r>
      <w:r w:rsidR="00C825CC">
        <w:rPr>
          <w:rFonts w:ascii="Times New Roman" w:hAnsi="Times New Roman"/>
        </w:rPr>
        <w:t>tion (offered on page one of th</w:t>
      </w:r>
      <w:r>
        <w:rPr>
          <w:rFonts w:ascii="Times New Roman" w:hAnsi="Times New Roman"/>
        </w:rPr>
        <w:t>is essay</w:t>
      </w:r>
      <w:r w:rsidR="00C825CC">
        <w:rPr>
          <w:rFonts w:ascii="Times New Roman" w:hAnsi="Times New Roman"/>
        </w:rPr>
        <w:t>)</w:t>
      </w:r>
      <w:r>
        <w:rPr>
          <w:rFonts w:ascii="Times New Roman" w:hAnsi="Times New Roman"/>
        </w:rPr>
        <w:t>?</w:t>
      </w:r>
    </w:p>
    <w:p w:rsidR="00C825CC" w:rsidRDefault="00D74191" w:rsidP="00C825CC">
      <w:pPr>
        <w:pStyle w:val="BodyText"/>
        <w:numPr>
          <w:ilvl w:val="0"/>
          <w:numId w:val="1"/>
        </w:numPr>
        <w:rPr>
          <w:rFonts w:ascii="Times New Roman" w:hAnsi="Times New Roman"/>
        </w:rPr>
      </w:pPr>
      <w:r w:rsidRPr="00C825CC">
        <w:rPr>
          <w:rFonts w:ascii="Times New Roman" w:hAnsi="Times New Roman"/>
        </w:rPr>
        <w:t>Do you trust the newly elected political figures?</w:t>
      </w:r>
    </w:p>
    <w:p w:rsidR="00C825CC" w:rsidRDefault="00D74191" w:rsidP="00C825CC">
      <w:pPr>
        <w:pStyle w:val="BodyText"/>
        <w:numPr>
          <w:ilvl w:val="0"/>
          <w:numId w:val="1"/>
        </w:numPr>
        <w:rPr>
          <w:rFonts w:ascii="Times New Roman" w:hAnsi="Times New Roman"/>
        </w:rPr>
      </w:pPr>
      <w:r w:rsidRPr="00C825CC">
        <w:rPr>
          <w:rFonts w:ascii="Times New Roman" w:hAnsi="Times New Roman"/>
        </w:rPr>
        <w:t xml:space="preserve">Are the Democratic candidates for local or state wide offices </w:t>
      </w:r>
      <w:r w:rsidR="007C63AC">
        <w:rPr>
          <w:rFonts w:ascii="Times New Roman" w:hAnsi="Times New Roman"/>
        </w:rPr>
        <w:t xml:space="preserve">for 2017 </w:t>
      </w:r>
      <w:r w:rsidRPr="00C825CC">
        <w:rPr>
          <w:rFonts w:ascii="Times New Roman" w:hAnsi="Times New Roman"/>
        </w:rPr>
        <w:t>trustworthy?</w:t>
      </w:r>
    </w:p>
    <w:p w:rsidR="007C63AC" w:rsidRDefault="00C825CC" w:rsidP="007C63AC">
      <w:pPr>
        <w:pStyle w:val="BodyText"/>
        <w:numPr>
          <w:ilvl w:val="0"/>
          <w:numId w:val="1"/>
        </w:numPr>
        <w:rPr>
          <w:rFonts w:ascii="Times New Roman" w:hAnsi="Times New Roman"/>
        </w:rPr>
      </w:pPr>
      <w:r w:rsidRPr="00C825CC">
        <w:rPr>
          <w:rFonts w:ascii="Times New Roman" w:hAnsi="Times New Roman"/>
        </w:rPr>
        <w:t>Does the trust model</w:t>
      </w:r>
      <w:r w:rsidR="00D74191" w:rsidRPr="00C825CC">
        <w:rPr>
          <w:rFonts w:ascii="Times New Roman" w:hAnsi="Times New Roman"/>
        </w:rPr>
        <w:t xml:space="preserve"> herein help to determine and articulate whether you might trust a particular candidate?</w:t>
      </w:r>
    </w:p>
    <w:p w:rsidR="00C825CC" w:rsidRPr="007C63AC" w:rsidRDefault="007C63AC" w:rsidP="007C63AC">
      <w:pPr>
        <w:pStyle w:val="BodyText"/>
        <w:numPr>
          <w:ilvl w:val="0"/>
          <w:numId w:val="1"/>
        </w:numPr>
        <w:rPr>
          <w:rFonts w:ascii="Times New Roman" w:hAnsi="Times New Roman"/>
        </w:rPr>
      </w:pPr>
      <w:r w:rsidRPr="00C825CC">
        <w:rPr>
          <w:rFonts w:ascii="Times New Roman" w:hAnsi="Times New Roman"/>
        </w:rPr>
        <w:t>Might there be any cultural changes we can make to enhance people’s propensity to trust</w:t>
      </w:r>
      <w:r>
        <w:rPr>
          <w:rFonts w:ascii="Times New Roman" w:hAnsi="Times New Roman"/>
        </w:rPr>
        <w:t xml:space="preserve"> Democrats</w:t>
      </w:r>
      <w:r w:rsidRPr="00C825CC">
        <w:rPr>
          <w:rFonts w:ascii="Times New Roman" w:hAnsi="Times New Roman"/>
        </w:rPr>
        <w:t>?</w:t>
      </w:r>
    </w:p>
    <w:p w:rsidR="00D74191" w:rsidRPr="00C825CC" w:rsidRDefault="00C825CC" w:rsidP="00C825CC">
      <w:pPr>
        <w:pStyle w:val="BodyText"/>
        <w:numPr>
          <w:ilvl w:val="0"/>
          <w:numId w:val="1"/>
        </w:numPr>
        <w:rPr>
          <w:rFonts w:ascii="Times New Roman" w:hAnsi="Times New Roman"/>
        </w:rPr>
      </w:pPr>
      <w:r w:rsidRPr="00C825CC">
        <w:rPr>
          <w:rFonts w:ascii="Times New Roman" w:hAnsi="Times New Roman"/>
        </w:rPr>
        <w:t>Could a candidate benefit from using this model as a mechanism to shape her or his campaign?</w:t>
      </w:r>
      <w:r w:rsidR="00D74191" w:rsidRPr="00C825CC">
        <w:rPr>
          <w:rFonts w:ascii="Times New Roman" w:hAnsi="Times New Roman"/>
        </w:rPr>
        <w:t xml:space="preserve">  </w:t>
      </w:r>
    </w:p>
    <w:sectPr w:rsidR="00D74191" w:rsidRPr="00C825CC" w:rsidSect="00C001E5">
      <w:headerReference w:type="default" r:id="rId9"/>
      <w:footerReference w:type="default" r:id="rId10"/>
      <w:headerReference w:type="first" r:id="rId11"/>
      <w:footerReference w:type="first" r:id="rId12"/>
      <w:pgSz w:w="12240" w:h="15840"/>
      <w:pgMar w:top="1380" w:right="1380" w:bottom="280" w:left="1320" w:header="14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71" w:rsidRDefault="00B44171" w:rsidP="00E03367">
      <w:r>
        <w:separator/>
      </w:r>
    </w:p>
  </w:endnote>
  <w:endnote w:type="continuationSeparator" w:id="0">
    <w:p w:rsidR="00B44171" w:rsidRDefault="00B44171" w:rsidP="00E03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60" w:rsidRPr="00E03367" w:rsidRDefault="0004523D" w:rsidP="00C001E5">
    <w:pPr>
      <w:pStyle w:val="Footer"/>
      <w:spacing w:before="240"/>
      <w:rPr>
        <w:sz w:val="20"/>
        <w:szCs w:val="20"/>
      </w:rPr>
    </w:pPr>
    <w:r w:rsidRPr="00E03367">
      <w:rPr>
        <w:sz w:val="20"/>
        <w:szCs w:val="20"/>
      </w:rPr>
      <w:t>© 2016 Matthew S.A. Feely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E5" w:rsidRPr="00883E5B" w:rsidRDefault="00C001E5" w:rsidP="00883E5B">
    <w:pPr>
      <w:pStyle w:val="Footer"/>
      <w:spacing w:before="240"/>
      <w:rPr>
        <w:sz w:val="20"/>
        <w:szCs w:val="20"/>
      </w:rPr>
    </w:pPr>
    <w:r w:rsidRPr="00E03367">
      <w:rPr>
        <w:sz w:val="20"/>
        <w:szCs w:val="20"/>
      </w:rPr>
      <w:t>© 2016 Matthew S.A. Feely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71" w:rsidRDefault="00B44171" w:rsidP="00E03367">
      <w:r>
        <w:separator/>
      </w:r>
    </w:p>
  </w:footnote>
  <w:footnote w:type="continuationSeparator" w:id="0">
    <w:p w:rsidR="00B44171" w:rsidRDefault="00B44171" w:rsidP="00E03367">
      <w:r>
        <w:continuationSeparator/>
      </w:r>
    </w:p>
  </w:footnote>
  <w:footnote w:id="1">
    <w:p w:rsidR="00A642BD" w:rsidRPr="009F4056" w:rsidRDefault="00A642BD" w:rsidP="00A642BD">
      <w:pPr>
        <w:rPr>
          <w:w w:val="105"/>
        </w:rPr>
      </w:pPr>
      <w:r>
        <w:rPr>
          <w:rStyle w:val="FootnoteReference"/>
        </w:rPr>
        <w:footnoteRef/>
      </w:r>
      <w:r>
        <w:t xml:space="preserve"> </w:t>
      </w:r>
      <w:r w:rsidRPr="00B039A1">
        <w:rPr>
          <w:w w:val="105"/>
        </w:rPr>
        <w:t xml:space="preserve">“An Integrative Model of Organizational Trust,: Roger Mayer, James H. Davis, and F. David </w:t>
      </w:r>
      <w:proofErr w:type="spellStart"/>
      <w:r w:rsidRPr="00B039A1">
        <w:rPr>
          <w:w w:val="105"/>
        </w:rPr>
        <w:t>Schoorman</w:t>
      </w:r>
      <w:proofErr w:type="spellEnd"/>
      <w:r w:rsidRPr="00B039A1">
        <w:rPr>
          <w:w w:val="105"/>
        </w:rPr>
        <w:t xml:space="preserve">, </w:t>
      </w:r>
      <w:r w:rsidRPr="00B039A1">
        <w:rPr>
          <w:i/>
          <w:w w:val="105"/>
        </w:rPr>
        <w:t xml:space="preserve">The Academy of Management  </w:t>
      </w:r>
      <w:r w:rsidRPr="00B039A1">
        <w:rPr>
          <w:w w:val="105"/>
        </w:rPr>
        <w:t xml:space="preserve">Review, </w:t>
      </w:r>
      <w:proofErr w:type="spellStart"/>
      <w:r w:rsidRPr="00B039A1">
        <w:rPr>
          <w:w w:val="105"/>
        </w:rPr>
        <w:t>Vol</w:t>
      </w:r>
      <w:proofErr w:type="spellEnd"/>
      <w:r w:rsidRPr="00B039A1">
        <w:rPr>
          <w:w w:val="105"/>
        </w:rPr>
        <w:t xml:space="preserve"> 20, No. 3 (Jul., 1995), pp. 709-734</w:t>
      </w:r>
    </w:p>
  </w:footnote>
  <w:footnote w:id="2">
    <w:p w:rsidR="007315AF" w:rsidRPr="00A4601A" w:rsidRDefault="007315AF" w:rsidP="00E03367">
      <w:pPr>
        <w:pStyle w:val="FootnoteText"/>
      </w:pPr>
      <w:r w:rsidRPr="00A4601A">
        <w:rPr>
          <w:rStyle w:val="FootnoteReference"/>
        </w:rPr>
        <w:footnoteRef/>
      </w:r>
      <w:r w:rsidRPr="00A4601A">
        <w:t xml:space="preserve"> </w:t>
      </w:r>
      <w:r w:rsidRPr="00EC260C">
        <w:rPr>
          <w:i/>
        </w:rPr>
        <w:t xml:space="preserve">The </w:t>
      </w:r>
      <w:r w:rsidR="00EC260C">
        <w:rPr>
          <w:i/>
        </w:rPr>
        <w:t xml:space="preserve">Economist’s “The </w:t>
      </w:r>
      <w:r w:rsidRPr="00EC260C">
        <w:rPr>
          <w:i/>
        </w:rPr>
        <w:t>World</w:t>
      </w:r>
      <w:r w:rsidR="00EC260C">
        <w:rPr>
          <w:i/>
        </w:rPr>
        <w:t>”</w:t>
      </w:r>
      <w:r w:rsidRPr="00A4601A">
        <w:t xml:space="preserve"> in 2016, pg. 90.</w:t>
      </w:r>
    </w:p>
  </w:footnote>
  <w:footnote w:id="3">
    <w:p w:rsidR="00EC260C" w:rsidRPr="00B131E0" w:rsidRDefault="00EC260C" w:rsidP="00EC260C">
      <w:pPr>
        <w:pStyle w:val="FootnoteText"/>
      </w:pPr>
      <w:r w:rsidRPr="00B131E0">
        <w:rPr>
          <w:rStyle w:val="FootnoteReference"/>
        </w:rPr>
        <w:footnoteRef/>
      </w:r>
      <w:r w:rsidRPr="00B131E0">
        <w:t xml:space="preserve"> It is interesting to note that Washington, Madison and Franklin, each of whom harbored doubts as to the viability of the “American experiment” and each of whom despised any number of their fellow founding fathers</w:t>
      </w:r>
      <w:r>
        <w:t>,</w:t>
      </w:r>
      <w:r w:rsidRPr="00B131E0">
        <w:t xml:space="preserve"> took care to </w:t>
      </w:r>
      <w:r>
        <w:t xml:space="preserve">avoiding </w:t>
      </w:r>
      <w:r w:rsidRPr="00B131E0">
        <w:t>voic</w:t>
      </w:r>
      <w:r>
        <w:t>ing</w:t>
      </w:r>
      <w:r w:rsidRPr="00B131E0">
        <w:t xml:space="preserve"> doubts in public.  Nor did they publically belittle opposition candidates or policies, as they believed doing so would breed cynicism – the death knell of a republic</w:t>
      </w:r>
      <w:r>
        <w:t>.  Feely is researching this matter</w:t>
      </w:r>
      <w:r w:rsidR="003D01C9">
        <w:t xml:space="preserve"> as there is some uncertainty as to which three Founding Fathers for the description (e.g. </w:t>
      </w:r>
      <w:r w:rsidR="003D01C9">
        <w:t xml:space="preserve">Perhaps Jefferson, rather than Madison, is one of the </w:t>
      </w:r>
      <w:r w:rsidR="003D01C9">
        <w:t>three.</w:t>
      </w:r>
      <w:r w:rsidR="00E55237">
        <w:t>).</w:t>
      </w:r>
      <w:r w:rsidR="003D01C9">
        <w:t xml:space="preserve">  The sentiment, however, is factual.  Our political ancestors understood the danger of criticism and cynicism as dangers to the republic.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A1" w:rsidRPr="00E03367" w:rsidRDefault="00557432" w:rsidP="00C825CC">
    <w:pPr>
      <w:pStyle w:val="Header"/>
      <w:spacing w:before="120"/>
      <w:jc w:val="right"/>
      <w:rPr>
        <w:sz w:val="20"/>
        <w:szCs w:val="20"/>
      </w:rPr>
    </w:pPr>
    <w:sdt>
      <w:sdtPr>
        <w:rPr>
          <w:sz w:val="20"/>
          <w:szCs w:val="20"/>
        </w:rPr>
        <w:id w:val="-1604092930"/>
        <w:docPartObj>
          <w:docPartGallery w:val="Page Numbers (Margins)"/>
          <w:docPartUnique/>
        </w:docPartObj>
      </w:sdtPr>
      <w:sdtContent>
        <w:r>
          <w:rPr>
            <w:noProof/>
            <w:sz w:val="20"/>
            <w:szCs w:val="20"/>
            <w:lang w:eastAsia="zh-TW"/>
          </w:rPr>
          <w:pict>
            <v:rect id="_x0000_s11267" style="position:absolute;left:0;text-align:left;margin-left:0;margin-top:0;width:40.9pt;height:171.9pt;z-index:251662336;mso-position-horizontal:center;mso-position-horizontal-relative:left-margin-area;mso-position-vertical:bottom;mso-position-vertical-relative:margin;v-text-anchor:middle" o:allowincell="f" filled="f" stroked="f">
              <v:textbox style="layout-flow:vertical;mso-layout-flow-alt:bottom-to-top;mso-next-textbox:#_x0000_s11267;mso-fit-shape-to-text:t">
                <w:txbxContent>
                  <w:p w:rsidR="00C825CC" w:rsidRDefault="00C825CC">
                    <w:pPr>
                      <w:pStyle w:val="Footer"/>
                      <w:rPr>
                        <w:rFonts w:asciiTheme="majorHAnsi" w:hAnsiTheme="majorHAnsi"/>
                        <w:sz w:val="44"/>
                        <w:szCs w:val="44"/>
                      </w:rPr>
                    </w:pPr>
                    <w:r>
                      <w:rPr>
                        <w:rFonts w:asciiTheme="majorHAnsi" w:hAnsiTheme="majorHAnsi"/>
                      </w:rPr>
                      <w:t>Page</w:t>
                    </w:r>
                    <w:fldSimple w:instr=" PAGE    \* MERGEFORMAT ">
                      <w:r w:rsidR="00E55237" w:rsidRPr="00E55237">
                        <w:rPr>
                          <w:rFonts w:asciiTheme="majorHAnsi" w:hAnsiTheme="majorHAnsi"/>
                          <w:noProof/>
                          <w:sz w:val="44"/>
                          <w:szCs w:val="44"/>
                        </w:rPr>
                        <w:t>4</w:t>
                      </w:r>
                    </w:fldSimple>
                  </w:p>
                </w:txbxContent>
              </v:textbox>
              <w10:wrap anchorx="margin" anchory="margin"/>
            </v:rect>
          </w:pict>
        </w:r>
      </w:sdtContent>
    </w:sdt>
    <w:r w:rsidR="00505E60" w:rsidRPr="00E03367">
      <w:rPr>
        <w:sz w:val="20"/>
        <w:szCs w:val="20"/>
      </w:rPr>
      <w:t>Matthew S.A. Feely, Ph.D.</w:t>
    </w:r>
  </w:p>
  <w:p w:rsidR="00505E60" w:rsidRPr="00E03367" w:rsidRDefault="00505E60" w:rsidP="00E03367">
    <w:pPr>
      <w:pStyle w:val="Header"/>
      <w:jc w:val="right"/>
      <w:rPr>
        <w:sz w:val="20"/>
        <w:szCs w:val="20"/>
      </w:rPr>
    </w:pPr>
    <w:r w:rsidRPr="00E03367">
      <w:rPr>
        <w:sz w:val="20"/>
        <w:szCs w:val="20"/>
      </w:rPr>
      <w:t>Captain, USN (RET)</w:t>
    </w:r>
  </w:p>
  <w:p w:rsidR="00505E60" w:rsidRDefault="00505E60" w:rsidP="00E03367">
    <w:pPr>
      <w:pStyle w:val="Header"/>
    </w:pPr>
  </w:p>
  <w:p w:rsidR="00D044A1" w:rsidRPr="00C001E5" w:rsidRDefault="00D044A1" w:rsidP="00E03367">
    <w:pPr>
      <w:pStyle w:val="Header"/>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E5" w:rsidRPr="00E03367" w:rsidRDefault="00557432" w:rsidP="00C825CC">
    <w:pPr>
      <w:pStyle w:val="Header"/>
      <w:spacing w:before="120"/>
      <w:jc w:val="right"/>
      <w:rPr>
        <w:sz w:val="20"/>
        <w:szCs w:val="20"/>
      </w:rPr>
    </w:pPr>
    <w:sdt>
      <w:sdtPr>
        <w:rPr>
          <w:sz w:val="20"/>
          <w:szCs w:val="20"/>
        </w:rPr>
        <w:id w:val="-1604092931"/>
        <w:docPartObj>
          <w:docPartGallery w:val="Page Numbers (Margins)"/>
          <w:docPartUnique/>
        </w:docPartObj>
      </w:sdtPr>
      <w:sdtContent>
        <w:r>
          <w:rPr>
            <w:noProof/>
            <w:sz w:val="20"/>
            <w:szCs w:val="20"/>
            <w:lang w:eastAsia="zh-TW"/>
          </w:rPr>
          <w:pict>
            <v:rect id="_x0000_s11266" style="position:absolute;left:0;text-align:left;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11266;mso-fit-shape-to-text:t">
                <w:txbxContent>
                  <w:p w:rsidR="00C825CC" w:rsidRDefault="00C825CC">
                    <w:pPr>
                      <w:pStyle w:val="Footer"/>
                      <w:rPr>
                        <w:rFonts w:asciiTheme="majorHAnsi" w:hAnsiTheme="majorHAnsi"/>
                        <w:sz w:val="44"/>
                        <w:szCs w:val="44"/>
                      </w:rPr>
                    </w:pPr>
                    <w:r>
                      <w:rPr>
                        <w:rFonts w:asciiTheme="majorHAnsi" w:hAnsiTheme="majorHAnsi"/>
                      </w:rPr>
                      <w:t>Page</w:t>
                    </w:r>
                    <w:fldSimple w:instr=" PAGE    \* MERGEFORMAT ">
                      <w:r w:rsidR="00556F74" w:rsidRPr="00556F74">
                        <w:rPr>
                          <w:rFonts w:asciiTheme="majorHAnsi" w:hAnsiTheme="majorHAnsi"/>
                          <w:noProof/>
                          <w:sz w:val="44"/>
                          <w:szCs w:val="44"/>
                        </w:rPr>
                        <w:t>1</w:t>
                      </w:r>
                    </w:fldSimple>
                  </w:p>
                </w:txbxContent>
              </v:textbox>
              <w10:wrap anchorx="margin" anchory="margin"/>
            </v:rect>
          </w:pict>
        </w:r>
      </w:sdtContent>
    </w:sdt>
    <w:r w:rsidR="00C001E5" w:rsidRPr="00E03367">
      <w:rPr>
        <w:sz w:val="20"/>
        <w:szCs w:val="20"/>
      </w:rPr>
      <w:t>Matthew S.A. Feely, Ph.D.</w:t>
    </w:r>
  </w:p>
  <w:p w:rsidR="00C001E5" w:rsidRPr="00E03367" w:rsidRDefault="00C001E5" w:rsidP="00C001E5">
    <w:pPr>
      <w:pStyle w:val="Header"/>
      <w:jc w:val="right"/>
      <w:rPr>
        <w:sz w:val="20"/>
        <w:szCs w:val="20"/>
      </w:rPr>
    </w:pPr>
    <w:r w:rsidRPr="00E03367">
      <w:rPr>
        <w:sz w:val="20"/>
        <w:szCs w:val="20"/>
      </w:rPr>
      <w:t>Captain, USN (RET)</w:t>
    </w:r>
  </w:p>
  <w:p w:rsidR="00C001E5" w:rsidRPr="00761216" w:rsidRDefault="00761216" w:rsidP="00761216">
    <w:pPr>
      <w:pStyle w:val="Header"/>
      <w:jc w:val="right"/>
      <w:rPr>
        <w:sz w:val="20"/>
        <w:szCs w:val="20"/>
      </w:rPr>
    </w:pPr>
    <w:r w:rsidRPr="00761216">
      <w:rPr>
        <w:sz w:val="20"/>
        <w:szCs w:val="20"/>
      </w:rPr>
      <w:t>Alexandria</w:t>
    </w:r>
    <w:r>
      <w:rPr>
        <w:sz w:val="20"/>
        <w:szCs w:val="20"/>
      </w:rPr>
      <w:t>,</w:t>
    </w:r>
    <w:r w:rsidRPr="00761216">
      <w:rPr>
        <w:sz w:val="20"/>
        <w:szCs w:val="20"/>
      </w:rPr>
      <w:t xml:space="preserve"> </w:t>
    </w:r>
    <w:r>
      <w:rPr>
        <w:sz w:val="20"/>
        <w:szCs w:val="20"/>
      </w:rPr>
      <w:t xml:space="preserve">VA </w:t>
    </w:r>
    <w:r w:rsidRPr="00761216">
      <w:rPr>
        <w:sz w:val="20"/>
        <w:szCs w:val="20"/>
      </w:rPr>
      <w:t>Salon, January 2017</w:t>
    </w:r>
  </w:p>
  <w:p w:rsidR="00C001E5" w:rsidRPr="00C001E5" w:rsidRDefault="00C001E5" w:rsidP="00C001E5">
    <w:pPr>
      <w:pStyle w:val="Header"/>
      <w:jc w:val="center"/>
      <w:rPr>
        <w:b/>
      </w:rPr>
    </w:pPr>
    <w:r>
      <w:rPr>
        <w:b/>
      </w:rPr>
      <w:t>What Does it Mean to “</w:t>
    </w:r>
    <w:r w:rsidRPr="00C001E5">
      <w:rPr>
        <w:b/>
      </w:rPr>
      <w:t>TRUST</w:t>
    </w:r>
    <w:r>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D2BD2"/>
    <w:multiLevelType w:val="hybridMultilevel"/>
    <w:tmpl w:val="A6EE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82"/>
    <o:shapelayout v:ext="edit">
      <o:idmap v:ext="edit" data="11"/>
    </o:shapelayout>
  </w:hdrShapeDefaults>
  <w:footnotePr>
    <w:footnote w:id="-1"/>
    <w:footnote w:id="0"/>
  </w:footnotePr>
  <w:endnotePr>
    <w:endnote w:id="-1"/>
    <w:endnote w:id="0"/>
  </w:endnotePr>
  <w:compat>
    <w:ulTrailSpace/>
  </w:compat>
  <w:rsids>
    <w:rsidRoot w:val="00650678"/>
    <w:rsid w:val="0001245C"/>
    <w:rsid w:val="00037A15"/>
    <w:rsid w:val="0004523D"/>
    <w:rsid w:val="000A289F"/>
    <w:rsid w:val="000B28A7"/>
    <w:rsid w:val="00116FAB"/>
    <w:rsid w:val="0012098D"/>
    <w:rsid w:val="00160EF9"/>
    <w:rsid w:val="00187268"/>
    <w:rsid w:val="001B138E"/>
    <w:rsid w:val="001F3B6B"/>
    <w:rsid w:val="00256DA7"/>
    <w:rsid w:val="00261892"/>
    <w:rsid w:val="00273AE7"/>
    <w:rsid w:val="00274F1D"/>
    <w:rsid w:val="00300B1B"/>
    <w:rsid w:val="00330CA2"/>
    <w:rsid w:val="00343BE1"/>
    <w:rsid w:val="00385E38"/>
    <w:rsid w:val="003D01C9"/>
    <w:rsid w:val="003E154E"/>
    <w:rsid w:val="003F3916"/>
    <w:rsid w:val="004211DE"/>
    <w:rsid w:val="00464595"/>
    <w:rsid w:val="004B54F8"/>
    <w:rsid w:val="00505E60"/>
    <w:rsid w:val="00511C22"/>
    <w:rsid w:val="0052173B"/>
    <w:rsid w:val="0052751C"/>
    <w:rsid w:val="00530D2E"/>
    <w:rsid w:val="00536088"/>
    <w:rsid w:val="00556F74"/>
    <w:rsid w:val="00557432"/>
    <w:rsid w:val="00570A54"/>
    <w:rsid w:val="005752FB"/>
    <w:rsid w:val="005E6B95"/>
    <w:rsid w:val="005F674A"/>
    <w:rsid w:val="00610E50"/>
    <w:rsid w:val="00614362"/>
    <w:rsid w:val="0061775A"/>
    <w:rsid w:val="00650678"/>
    <w:rsid w:val="006D15FF"/>
    <w:rsid w:val="00714D25"/>
    <w:rsid w:val="00722A72"/>
    <w:rsid w:val="007315AF"/>
    <w:rsid w:val="00761216"/>
    <w:rsid w:val="007C128D"/>
    <w:rsid w:val="007C63AC"/>
    <w:rsid w:val="007F3B8D"/>
    <w:rsid w:val="0085015F"/>
    <w:rsid w:val="008651FB"/>
    <w:rsid w:val="00883E5B"/>
    <w:rsid w:val="008E3B0A"/>
    <w:rsid w:val="00914436"/>
    <w:rsid w:val="00933150"/>
    <w:rsid w:val="009352D5"/>
    <w:rsid w:val="0095520D"/>
    <w:rsid w:val="009859A3"/>
    <w:rsid w:val="009A786E"/>
    <w:rsid w:val="009E1764"/>
    <w:rsid w:val="009E1FBD"/>
    <w:rsid w:val="009F4056"/>
    <w:rsid w:val="00A31515"/>
    <w:rsid w:val="00A3438A"/>
    <w:rsid w:val="00A441E9"/>
    <w:rsid w:val="00A642BD"/>
    <w:rsid w:val="00B039A1"/>
    <w:rsid w:val="00B44171"/>
    <w:rsid w:val="00B75342"/>
    <w:rsid w:val="00B94668"/>
    <w:rsid w:val="00C001E5"/>
    <w:rsid w:val="00C0532A"/>
    <w:rsid w:val="00C24BE7"/>
    <w:rsid w:val="00C825CC"/>
    <w:rsid w:val="00CB4A65"/>
    <w:rsid w:val="00D0274F"/>
    <w:rsid w:val="00D044A1"/>
    <w:rsid w:val="00D06B24"/>
    <w:rsid w:val="00D21AF9"/>
    <w:rsid w:val="00D232F1"/>
    <w:rsid w:val="00D35E22"/>
    <w:rsid w:val="00D74191"/>
    <w:rsid w:val="00DA4799"/>
    <w:rsid w:val="00DA591E"/>
    <w:rsid w:val="00E03367"/>
    <w:rsid w:val="00E21ACB"/>
    <w:rsid w:val="00E55237"/>
    <w:rsid w:val="00E749BF"/>
    <w:rsid w:val="00EB38F1"/>
    <w:rsid w:val="00EC260C"/>
    <w:rsid w:val="00FA7C90"/>
    <w:rsid w:val="00FB20F2"/>
    <w:rsid w:val="00FB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0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0678"/>
    <w:pPr>
      <w:ind w:left="100"/>
    </w:pPr>
    <w:rPr>
      <w:rFonts w:ascii="Cambria" w:eastAsia="Cambria" w:hAnsi="Cambria"/>
    </w:rPr>
  </w:style>
  <w:style w:type="paragraph" w:styleId="ListParagraph">
    <w:name w:val="List Paragraph"/>
    <w:basedOn w:val="Normal"/>
    <w:uiPriority w:val="1"/>
    <w:qFormat/>
    <w:rsid w:val="00650678"/>
  </w:style>
  <w:style w:type="paragraph" w:customStyle="1" w:styleId="TableParagraph">
    <w:name w:val="Table Paragraph"/>
    <w:basedOn w:val="Normal"/>
    <w:uiPriority w:val="1"/>
    <w:qFormat/>
    <w:rsid w:val="00650678"/>
  </w:style>
  <w:style w:type="paragraph" w:styleId="BalloonText">
    <w:name w:val="Balloon Text"/>
    <w:basedOn w:val="Normal"/>
    <w:link w:val="BalloonTextChar"/>
    <w:uiPriority w:val="99"/>
    <w:semiHidden/>
    <w:unhideWhenUsed/>
    <w:rsid w:val="00D35E22"/>
    <w:rPr>
      <w:rFonts w:ascii="Tahoma" w:hAnsi="Tahoma" w:cs="Tahoma"/>
      <w:sz w:val="16"/>
      <w:szCs w:val="16"/>
    </w:rPr>
  </w:style>
  <w:style w:type="character" w:customStyle="1" w:styleId="BalloonTextChar">
    <w:name w:val="Balloon Text Char"/>
    <w:basedOn w:val="DefaultParagraphFont"/>
    <w:link w:val="BalloonText"/>
    <w:uiPriority w:val="99"/>
    <w:semiHidden/>
    <w:rsid w:val="00D35E22"/>
    <w:rPr>
      <w:rFonts w:ascii="Tahoma" w:hAnsi="Tahoma" w:cs="Tahoma"/>
      <w:sz w:val="16"/>
      <w:szCs w:val="16"/>
    </w:rPr>
  </w:style>
  <w:style w:type="paragraph" w:styleId="Header">
    <w:name w:val="header"/>
    <w:basedOn w:val="Normal"/>
    <w:link w:val="HeaderChar"/>
    <w:uiPriority w:val="99"/>
    <w:unhideWhenUsed/>
    <w:rsid w:val="00D044A1"/>
    <w:pPr>
      <w:tabs>
        <w:tab w:val="center" w:pos="4680"/>
        <w:tab w:val="right" w:pos="9360"/>
      </w:tabs>
    </w:pPr>
  </w:style>
  <w:style w:type="character" w:customStyle="1" w:styleId="HeaderChar">
    <w:name w:val="Header Char"/>
    <w:basedOn w:val="DefaultParagraphFont"/>
    <w:link w:val="Header"/>
    <w:uiPriority w:val="99"/>
    <w:rsid w:val="00D044A1"/>
  </w:style>
  <w:style w:type="paragraph" w:styleId="Footer">
    <w:name w:val="footer"/>
    <w:basedOn w:val="Normal"/>
    <w:link w:val="FooterChar"/>
    <w:uiPriority w:val="99"/>
    <w:unhideWhenUsed/>
    <w:rsid w:val="00D044A1"/>
    <w:pPr>
      <w:tabs>
        <w:tab w:val="center" w:pos="4680"/>
        <w:tab w:val="right" w:pos="9360"/>
      </w:tabs>
    </w:pPr>
  </w:style>
  <w:style w:type="character" w:customStyle="1" w:styleId="FooterChar">
    <w:name w:val="Footer Char"/>
    <w:basedOn w:val="DefaultParagraphFont"/>
    <w:link w:val="Footer"/>
    <w:uiPriority w:val="99"/>
    <w:rsid w:val="00D044A1"/>
  </w:style>
  <w:style w:type="character" w:customStyle="1" w:styleId="BodyTextChar">
    <w:name w:val="Body Text Char"/>
    <w:basedOn w:val="DefaultParagraphFont"/>
    <w:link w:val="BodyText"/>
    <w:uiPriority w:val="1"/>
    <w:rsid w:val="003E154E"/>
    <w:rPr>
      <w:rFonts w:ascii="Cambria" w:eastAsia="Cambria" w:hAnsi="Cambria"/>
    </w:rPr>
  </w:style>
  <w:style w:type="paragraph" w:styleId="FootnoteText">
    <w:name w:val="footnote text"/>
    <w:basedOn w:val="Normal"/>
    <w:link w:val="FootnoteTextChar"/>
    <w:uiPriority w:val="99"/>
    <w:semiHidden/>
    <w:unhideWhenUsed/>
    <w:rsid w:val="009F4056"/>
    <w:rPr>
      <w:sz w:val="20"/>
      <w:szCs w:val="20"/>
    </w:rPr>
  </w:style>
  <w:style w:type="character" w:customStyle="1" w:styleId="FootnoteTextChar">
    <w:name w:val="Footnote Text Char"/>
    <w:basedOn w:val="DefaultParagraphFont"/>
    <w:link w:val="FootnoteText"/>
    <w:uiPriority w:val="99"/>
    <w:semiHidden/>
    <w:rsid w:val="009F4056"/>
    <w:rPr>
      <w:sz w:val="20"/>
      <w:szCs w:val="20"/>
    </w:rPr>
  </w:style>
  <w:style w:type="character" w:styleId="FootnoteReference">
    <w:name w:val="footnote reference"/>
    <w:basedOn w:val="DefaultParagraphFont"/>
    <w:uiPriority w:val="99"/>
    <w:semiHidden/>
    <w:unhideWhenUsed/>
    <w:rsid w:val="009F405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CEE09-CBF0-481F-BF48-DE80274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4</cp:revision>
  <cp:lastPrinted>2017-01-09T03:51:00Z</cp:lastPrinted>
  <dcterms:created xsi:type="dcterms:W3CDTF">2017-04-15T01:45:00Z</dcterms:created>
  <dcterms:modified xsi:type="dcterms:W3CDTF">2017-04-24T20:27:00Z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2014-05-29T00:00:00Z</vt:filetime>
  </property>
</Properties>
</file>